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31" w:rsidRPr="00A21362" w:rsidRDefault="00484B31" w:rsidP="00484B31"/>
    <w:p w:rsidR="00484B31" w:rsidRPr="00A21362" w:rsidRDefault="00484B31" w:rsidP="00484B31">
      <w:pPr>
        <w:rPr>
          <w:b/>
        </w:rPr>
      </w:pPr>
      <w:r w:rsidRPr="00A21362">
        <w:rPr>
          <w:b/>
        </w:rPr>
        <w:t>Section 174.450  Requirements for Permit to Fuel Motor Vehicles from Tank Vehicles</w:t>
      </w:r>
    </w:p>
    <w:p w:rsidR="00484B31" w:rsidRPr="00A21362" w:rsidRDefault="00484B31" w:rsidP="00484B31"/>
    <w:p w:rsidR="00484B31" w:rsidRPr="00A21362" w:rsidRDefault="00484B31" w:rsidP="00465D27">
      <w:pPr>
        <w:ind w:left="1440" w:hanging="720"/>
      </w:pPr>
      <w:r w:rsidRPr="00A21362">
        <w:t>a)</w:t>
      </w:r>
      <w:r w:rsidRPr="00A21362">
        <w:tab/>
        <w:t xml:space="preserve">The person, company or other entity proposing to deposit fuel into tanks of motor vehicles from tank vehicles must first have a permit from OSFM.  </w:t>
      </w:r>
      <w:r>
        <w:t xml:space="preserve">The application may be found at </w:t>
      </w:r>
      <w:r w:rsidRPr="00096524">
        <w:t>https://www2.illinois.gov/sites/sfm/About/Divisions/Fire-Prevention-and-Building-Safety/Pages/Mobile-Fueling.aspx</w:t>
      </w:r>
      <w:r>
        <w:t xml:space="preserve">.  </w:t>
      </w:r>
      <w:r w:rsidRPr="00A21362">
        <w:t>A permit will be granted under the following circumstances.</w:t>
      </w:r>
    </w:p>
    <w:p w:rsidR="00484B31" w:rsidRPr="00A21362" w:rsidRDefault="00484B31" w:rsidP="00484B31"/>
    <w:p w:rsidR="00484B31" w:rsidRPr="00A21362" w:rsidRDefault="00484B31" w:rsidP="00484B31">
      <w:pPr>
        <w:ind w:left="2160" w:hanging="720"/>
      </w:pPr>
      <w:r w:rsidRPr="00A21362">
        <w:t>1)</w:t>
      </w:r>
      <w:r w:rsidRPr="00A21362">
        <w:tab/>
        <w:t xml:space="preserve">The person must apply for a permit </w:t>
      </w:r>
      <w:r>
        <w:t>by providing</w:t>
      </w:r>
      <w:r w:rsidRPr="00A21362">
        <w:t xml:space="preserve"> the following information:</w:t>
      </w:r>
    </w:p>
    <w:p w:rsidR="00484B31" w:rsidRPr="00A21362" w:rsidRDefault="00484B31" w:rsidP="00484B31"/>
    <w:p w:rsidR="00484B31" w:rsidRPr="00A21362" w:rsidRDefault="00484B31" w:rsidP="00484B31">
      <w:pPr>
        <w:ind w:left="2880" w:hanging="720"/>
      </w:pPr>
      <w:r w:rsidRPr="00A21362">
        <w:t>A)</w:t>
      </w:r>
      <w:r w:rsidRPr="00A21362">
        <w:tab/>
        <w:t>The name of business, proof of good standing if a corporation, proof of compliance with the Assumed Name Act if applicable</w:t>
      </w:r>
      <w:r>
        <w:t>,</w:t>
      </w:r>
      <w:r w:rsidRPr="00A21362">
        <w:t xml:space="preserve"> and the principal address of the business.</w:t>
      </w:r>
    </w:p>
    <w:p w:rsidR="00484B31" w:rsidRPr="00A21362" w:rsidRDefault="00484B31" w:rsidP="00484B31"/>
    <w:p w:rsidR="00484B31" w:rsidRPr="00A21362" w:rsidRDefault="00484B31" w:rsidP="00484B31">
      <w:pPr>
        <w:ind w:left="2880" w:hanging="720"/>
      </w:pPr>
      <w:r w:rsidRPr="00A21362">
        <w:t>B)</w:t>
      </w:r>
      <w:r w:rsidRPr="00A21362">
        <w:tab/>
        <w:t xml:space="preserve">Proof that the vehicles used for fueling are in compliance with Section 174.440. </w:t>
      </w:r>
    </w:p>
    <w:p w:rsidR="00484B31" w:rsidRPr="00A21362" w:rsidRDefault="00484B31" w:rsidP="00484B31"/>
    <w:p w:rsidR="00484B31" w:rsidRPr="00A21362" w:rsidRDefault="00484B31" w:rsidP="00484B31">
      <w:pPr>
        <w:ind w:left="2880" w:hanging="720"/>
      </w:pPr>
      <w:r w:rsidRPr="00A21362">
        <w:t>C)</w:t>
      </w:r>
      <w:r w:rsidRPr="00A21362">
        <w:tab/>
        <w:t xml:space="preserve">Evidence that employees have knowledge of the requirements contained in Section 174.440. </w:t>
      </w:r>
    </w:p>
    <w:p w:rsidR="00484B31" w:rsidRPr="00A21362" w:rsidRDefault="00484B31" w:rsidP="00484B31"/>
    <w:p w:rsidR="00484B31" w:rsidRPr="00A21362" w:rsidRDefault="00484B31" w:rsidP="00484B31">
      <w:pPr>
        <w:ind w:left="2160" w:hanging="720"/>
      </w:pPr>
      <w:r>
        <w:t>2</w:t>
      </w:r>
      <w:r w:rsidRPr="00A21362">
        <w:t>)</w:t>
      </w:r>
      <w:r w:rsidRPr="00A21362">
        <w:tab/>
        <w:t xml:space="preserve">An annual fee of $500 shall be charged each </w:t>
      </w:r>
      <w:r>
        <w:t>person</w:t>
      </w:r>
      <w:r w:rsidRPr="00A21362">
        <w:t xml:space="preserve"> engaging in fueling from tank vehicles for the period from January 1 t</w:t>
      </w:r>
      <w:r>
        <w:t>hrough</w:t>
      </w:r>
      <w:r w:rsidRPr="00A21362">
        <w:t xml:space="preserve"> December 31 of each calendar year.</w:t>
      </w:r>
    </w:p>
    <w:p w:rsidR="00484B31" w:rsidRPr="00A21362" w:rsidRDefault="00484B31" w:rsidP="00484B31"/>
    <w:p w:rsidR="00484B31" w:rsidRPr="00A21362" w:rsidRDefault="00484B31" w:rsidP="00484B31">
      <w:pPr>
        <w:ind w:left="720" w:firstLine="720"/>
      </w:pPr>
      <w:r>
        <w:t>3</w:t>
      </w:r>
      <w:r w:rsidRPr="00A21362">
        <w:t>)</w:t>
      </w:r>
      <w:r w:rsidRPr="00A21362">
        <w:tab/>
        <w:t>Each vehicle used for fueling must comply with Section 174.440</w:t>
      </w:r>
      <w:r>
        <w:t xml:space="preserve"> and:</w:t>
      </w:r>
      <w:r w:rsidRPr="00A21362">
        <w:t xml:space="preserve"> </w:t>
      </w:r>
    </w:p>
    <w:p w:rsidR="00484B31" w:rsidRPr="00A21362" w:rsidRDefault="00484B31" w:rsidP="00484B31"/>
    <w:p w:rsidR="00484B31" w:rsidRPr="00A21362" w:rsidRDefault="00484B31" w:rsidP="00465D27">
      <w:pPr>
        <w:ind w:left="2880" w:right="-387" w:hanging="720"/>
      </w:pPr>
      <w:r w:rsidRPr="00A21362">
        <w:t>A)</w:t>
      </w:r>
      <w:r w:rsidRPr="00A21362">
        <w:tab/>
      </w:r>
      <w:r>
        <w:t>OSFM a</w:t>
      </w:r>
      <w:r w:rsidRPr="00A21362">
        <w:t xml:space="preserve">pproval shall consist of a decal or other evidence issued by OSFM attached to the vehicle.  </w:t>
      </w:r>
      <w:r>
        <w:t xml:space="preserve">The application can be found at the website cited in subsection (a).  </w:t>
      </w:r>
      <w:r w:rsidRPr="00A21362">
        <w:t xml:space="preserve">Tank vehicles shall be subject to periodic inspections. </w:t>
      </w:r>
    </w:p>
    <w:p w:rsidR="00484B31" w:rsidRPr="00A21362" w:rsidRDefault="00484B31" w:rsidP="00484B31"/>
    <w:p w:rsidR="00484B31" w:rsidRPr="00A21362" w:rsidRDefault="00484B31" w:rsidP="00484B31">
      <w:pPr>
        <w:ind w:left="2880" w:hanging="720"/>
      </w:pPr>
      <w:r w:rsidRPr="00A21362">
        <w:t>B)</w:t>
      </w:r>
      <w:r w:rsidRPr="00A21362">
        <w:tab/>
        <w:t xml:space="preserve">Vehicles without a permit shall not be allowed to engage in </w:t>
      </w:r>
      <w:r>
        <w:t xml:space="preserve">tank </w:t>
      </w:r>
      <w:bookmarkStart w:id="0" w:name="_GoBack"/>
      <w:bookmarkEnd w:id="0"/>
      <w:r>
        <w:t>vehicle</w:t>
      </w:r>
      <w:r w:rsidRPr="00A21362">
        <w:t xml:space="preserve"> fueling.</w:t>
      </w:r>
    </w:p>
    <w:p w:rsidR="00484B31" w:rsidRPr="00A21362" w:rsidRDefault="00484B31" w:rsidP="00484B31"/>
    <w:p w:rsidR="00484B31" w:rsidRPr="00A21362" w:rsidRDefault="00484B31" w:rsidP="00484B31">
      <w:pPr>
        <w:ind w:left="2880" w:hanging="720"/>
      </w:pPr>
      <w:r w:rsidRPr="00A21362">
        <w:t>C)</w:t>
      </w:r>
      <w:r w:rsidRPr="00A21362">
        <w:tab/>
      </w:r>
      <w:r>
        <w:t>A replacement or added vehicle</w:t>
      </w:r>
      <w:r w:rsidRPr="00A21362">
        <w:t xml:space="preserve"> shall not engage in fueling until an inspection is made to determine compliance and evidence of compliance </w:t>
      </w:r>
      <w:r>
        <w:t>is</w:t>
      </w:r>
      <w:r w:rsidRPr="00A21362">
        <w:t xml:space="preserve"> issued.</w:t>
      </w:r>
    </w:p>
    <w:p w:rsidR="00484B31" w:rsidRPr="00A21362" w:rsidRDefault="00484B31" w:rsidP="00484B31"/>
    <w:p w:rsidR="00484B31" w:rsidRPr="00A21362" w:rsidRDefault="00484B31" w:rsidP="00484B31">
      <w:pPr>
        <w:ind w:left="2880" w:hanging="720"/>
      </w:pPr>
      <w:r w:rsidRPr="00A21362">
        <w:t>D)</w:t>
      </w:r>
      <w:r w:rsidRPr="00A21362">
        <w:tab/>
        <w:t>An annual fee of $100 shall be charged for each vehicle engaged in the fueling. Replacement vehicles shall be charged at the same rate. The evidence of compliance shall be for January 1 through December 31.</w:t>
      </w:r>
    </w:p>
    <w:p w:rsidR="00484B31" w:rsidRPr="00A21362" w:rsidRDefault="00484B31" w:rsidP="00484B31"/>
    <w:p w:rsidR="00484B31" w:rsidRPr="00A21362" w:rsidRDefault="00484B31" w:rsidP="00484B31">
      <w:pPr>
        <w:ind w:left="1440" w:hanging="720"/>
      </w:pPr>
      <w:r w:rsidRPr="00A21362">
        <w:lastRenderedPageBreak/>
        <w:t>b)</w:t>
      </w:r>
      <w:r w:rsidRPr="00A21362">
        <w:tab/>
        <w:t xml:space="preserve">Each location </w:t>
      </w:r>
      <w:r>
        <w:t xml:space="preserve">(site) </w:t>
      </w:r>
      <w:r w:rsidRPr="00A21362">
        <w:t xml:space="preserve">where fueling from tank vehicles is conducted shall be inspected by </w:t>
      </w:r>
      <w:r>
        <w:t>O</w:t>
      </w:r>
      <w:r w:rsidRPr="00A21362">
        <w:t xml:space="preserve">SFM. No fueling from tank vehicles shall take place until the location for the fueling is approved by OSFM. </w:t>
      </w:r>
    </w:p>
    <w:p w:rsidR="00484B31" w:rsidRDefault="00484B31" w:rsidP="00484B31"/>
    <w:p w:rsidR="00484B31" w:rsidRPr="00A21362" w:rsidRDefault="00484B31" w:rsidP="00484B31">
      <w:pPr>
        <w:ind w:left="2160" w:hanging="720"/>
      </w:pPr>
      <w:r w:rsidRPr="00A21362">
        <w:t>1)</w:t>
      </w:r>
      <w:r w:rsidRPr="00A21362">
        <w:tab/>
        <w:t xml:space="preserve">The owner/lessee or other person who has vehicles to be fueled by tank vehicle shall pay OSFM an annual fee for each location where the fueling will take place. Fees shall </w:t>
      </w:r>
      <w:r>
        <w:t>be as follows</w:t>
      </w:r>
      <w:r w:rsidRPr="00A21362">
        <w:t>:</w:t>
      </w:r>
    </w:p>
    <w:p w:rsidR="00484B31" w:rsidRPr="00A21362" w:rsidRDefault="00484B31" w:rsidP="00484B31"/>
    <w:tbl>
      <w:tblPr>
        <w:tblStyle w:val="TableGrid"/>
        <w:tblW w:w="0" w:type="auto"/>
        <w:tblInd w:w="2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62"/>
        <w:gridCol w:w="2136"/>
      </w:tblGrid>
      <w:tr w:rsidR="00484B31" w:rsidRPr="00A21362" w:rsidTr="007E4CA2">
        <w:tc>
          <w:tcPr>
            <w:tcW w:w="3462" w:type="dxa"/>
          </w:tcPr>
          <w:p w:rsidR="00484B31" w:rsidRPr="00A21362" w:rsidRDefault="00484B31" w:rsidP="007E4CA2">
            <w:r w:rsidRPr="00A21362">
              <w:t>Number of Vehicles Fueled</w:t>
            </w:r>
          </w:p>
        </w:tc>
        <w:tc>
          <w:tcPr>
            <w:tcW w:w="2136" w:type="dxa"/>
          </w:tcPr>
          <w:p w:rsidR="00484B31" w:rsidRPr="00A21362" w:rsidRDefault="00484B31" w:rsidP="007E4CA2">
            <w:r w:rsidRPr="00A21362">
              <w:t>Fee</w:t>
            </w:r>
          </w:p>
        </w:tc>
      </w:tr>
      <w:tr w:rsidR="00484B31" w:rsidRPr="00A21362" w:rsidTr="007E4CA2">
        <w:tc>
          <w:tcPr>
            <w:tcW w:w="3462" w:type="dxa"/>
          </w:tcPr>
          <w:p w:rsidR="00484B31" w:rsidRPr="00A21362" w:rsidRDefault="00484B31" w:rsidP="007E4CA2">
            <w:pPr>
              <w:ind w:left="846"/>
            </w:pPr>
            <w:r>
              <w:t>1-</w:t>
            </w:r>
            <w:r w:rsidRPr="00A21362">
              <w:t>25</w:t>
            </w:r>
          </w:p>
        </w:tc>
        <w:tc>
          <w:tcPr>
            <w:tcW w:w="2136" w:type="dxa"/>
          </w:tcPr>
          <w:p w:rsidR="00484B31" w:rsidRPr="00A21362" w:rsidRDefault="00484B31" w:rsidP="007E4CA2">
            <w:r w:rsidRPr="00A21362">
              <w:t>$100</w:t>
            </w:r>
          </w:p>
        </w:tc>
      </w:tr>
      <w:tr w:rsidR="00484B31" w:rsidRPr="00A21362" w:rsidTr="007E4CA2">
        <w:tc>
          <w:tcPr>
            <w:tcW w:w="3462" w:type="dxa"/>
          </w:tcPr>
          <w:p w:rsidR="00484B31" w:rsidRPr="00A21362" w:rsidRDefault="00484B31" w:rsidP="007E4CA2">
            <w:pPr>
              <w:ind w:left="846"/>
            </w:pPr>
            <w:r>
              <w:t>26-</w:t>
            </w:r>
            <w:r w:rsidRPr="00A21362">
              <w:t>50</w:t>
            </w:r>
          </w:p>
        </w:tc>
        <w:tc>
          <w:tcPr>
            <w:tcW w:w="2136" w:type="dxa"/>
          </w:tcPr>
          <w:p w:rsidR="00484B31" w:rsidRPr="00A21362" w:rsidRDefault="00484B31" w:rsidP="007E4CA2">
            <w:r w:rsidRPr="00A21362">
              <w:t>$200</w:t>
            </w:r>
          </w:p>
        </w:tc>
      </w:tr>
      <w:tr w:rsidR="00484B31" w:rsidRPr="00A21362" w:rsidTr="007E4CA2">
        <w:tc>
          <w:tcPr>
            <w:tcW w:w="3462" w:type="dxa"/>
          </w:tcPr>
          <w:p w:rsidR="00484B31" w:rsidRPr="00A21362" w:rsidRDefault="00484B31" w:rsidP="007E4CA2">
            <w:pPr>
              <w:ind w:left="846"/>
            </w:pPr>
            <w:r>
              <w:t>51-</w:t>
            </w:r>
            <w:r w:rsidRPr="00A21362">
              <w:t>100</w:t>
            </w:r>
          </w:p>
        </w:tc>
        <w:tc>
          <w:tcPr>
            <w:tcW w:w="2136" w:type="dxa"/>
          </w:tcPr>
          <w:p w:rsidR="00484B31" w:rsidRPr="00A21362" w:rsidRDefault="00484B31" w:rsidP="007E4CA2">
            <w:r w:rsidRPr="00A21362">
              <w:t>$300</w:t>
            </w:r>
          </w:p>
        </w:tc>
      </w:tr>
      <w:tr w:rsidR="00484B31" w:rsidRPr="00A21362" w:rsidTr="007E4CA2">
        <w:tc>
          <w:tcPr>
            <w:tcW w:w="3462" w:type="dxa"/>
          </w:tcPr>
          <w:p w:rsidR="00484B31" w:rsidRPr="00A21362" w:rsidRDefault="00484B31" w:rsidP="007E4CA2">
            <w:pPr>
              <w:ind w:left="846"/>
            </w:pPr>
            <w:r w:rsidRPr="00A21362">
              <w:t>101 or more</w:t>
            </w:r>
          </w:p>
        </w:tc>
        <w:tc>
          <w:tcPr>
            <w:tcW w:w="2136" w:type="dxa"/>
          </w:tcPr>
          <w:p w:rsidR="00484B31" w:rsidRPr="00A21362" w:rsidRDefault="00484B31" w:rsidP="007E4CA2">
            <w:r w:rsidRPr="00A21362">
              <w:t>$400</w:t>
            </w:r>
          </w:p>
        </w:tc>
      </w:tr>
    </w:tbl>
    <w:p w:rsidR="00484B31" w:rsidRDefault="00484B31" w:rsidP="00484B31">
      <w:pPr>
        <w:ind w:left="2160" w:hanging="720"/>
      </w:pPr>
    </w:p>
    <w:p w:rsidR="00484B31" w:rsidRPr="00A21362" w:rsidRDefault="00484B31" w:rsidP="00484B31">
      <w:pPr>
        <w:ind w:left="2160" w:hanging="720"/>
      </w:pPr>
      <w:r w:rsidRPr="00A21362">
        <w:t>2)</w:t>
      </w:r>
      <w:r w:rsidRPr="00A21362">
        <w:tab/>
        <w:t>The locations shall be approved if they meet the requirements of Section 174.440.</w:t>
      </w:r>
    </w:p>
    <w:p w:rsidR="00484B31" w:rsidRPr="00A21362" w:rsidRDefault="00484B31" w:rsidP="00484B31"/>
    <w:p w:rsidR="00484B31" w:rsidRDefault="00484B31" w:rsidP="00484B31">
      <w:pPr>
        <w:ind w:left="720" w:firstLine="720"/>
      </w:pPr>
      <w:r w:rsidRPr="00A21362">
        <w:t>3)</w:t>
      </w:r>
      <w:r w:rsidRPr="00A21362">
        <w:tab/>
        <w:t>The location must be approved annually.</w:t>
      </w:r>
    </w:p>
    <w:p w:rsidR="00484B31" w:rsidRDefault="00484B31" w:rsidP="00484B31">
      <w:pPr>
        <w:ind w:left="720"/>
      </w:pPr>
    </w:p>
    <w:p w:rsidR="00EB49B3" w:rsidRDefault="00484B31" w:rsidP="00484B31">
      <w:pPr>
        <w:ind w:left="720"/>
      </w:pPr>
      <w:r>
        <w:t xml:space="preserve">(Source:  Amended at 42 Ill. Reg. </w:t>
      </w:r>
      <w:r w:rsidR="00A1273D">
        <w:t>10435</w:t>
      </w:r>
      <w:r>
        <w:t xml:space="preserve">, effective </w:t>
      </w:r>
      <w:r w:rsidR="00A1273D">
        <w:t>October 13, 2018</w:t>
      </w:r>
      <w:r>
        <w:t>)</w:t>
      </w:r>
    </w:p>
    <w:p w:rsidR="00484B31" w:rsidRPr="00A21362" w:rsidRDefault="00484B31" w:rsidP="003741E2"/>
    <w:sectPr w:rsidR="00484B31" w:rsidRPr="00A2136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274" w:rsidRDefault="001D5274">
      <w:r>
        <w:separator/>
      </w:r>
    </w:p>
  </w:endnote>
  <w:endnote w:type="continuationSeparator" w:id="0">
    <w:p w:rsidR="001D5274" w:rsidRDefault="001D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274" w:rsidRDefault="001D5274">
      <w:r>
        <w:separator/>
      </w:r>
    </w:p>
  </w:footnote>
  <w:footnote w:type="continuationSeparator" w:id="0">
    <w:p w:rsidR="001D5274" w:rsidRDefault="001D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lvlRestart w:val="0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z w:val="24"/>
        <w:u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z w:val="24"/>
        <w:u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03E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1DD6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386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274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1E2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5D27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B31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72E7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386C"/>
    <w:rsid w:val="005C7438"/>
    <w:rsid w:val="005D35F3"/>
    <w:rsid w:val="005E03A7"/>
    <w:rsid w:val="005E3D55"/>
    <w:rsid w:val="005F2891"/>
    <w:rsid w:val="005F709C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C1C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8F2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BC2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73D"/>
    <w:rsid w:val="00A12B90"/>
    <w:rsid w:val="00A14FBF"/>
    <w:rsid w:val="00A16291"/>
    <w:rsid w:val="00A17218"/>
    <w:rsid w:val="00A1799D"/>
    <w:rsid w:val="00A2123B"/>
    <w:rsid w:val="00A2135A"/>
    <w:rsid w:val="00A21362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4A5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1B9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6D63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507B3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3E7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1E7F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49B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AE2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ED2110-3016-4031-82CF-720850F6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B3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6B3C1C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6B3C1C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6B3C1C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6B3C1C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6B3C1C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6B3C1C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6B3C1C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6B3C1C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6B3C1C"/>
    <w:pPr>
      <w:numPr>
        <w:ilvl w:val="8"/>
      </w:numPr>
      <w:outlineLvl w:val="8"/>
    </w:pPr>
  </w:style>
  <w:style w:type="paragraph" w:customStyle="1" w:styleId="MWTitle08">
    <w:name w:val="MWTitle08"/>
    <w:aliases w:val="t8"/>
    <w:basedOn w:val="Normal"/>
    <w:next w:val="Normal"/>
    <w:rsid w:val="006B3C1C"/>
    <w:pPr>
      <w:keepNext/>
      <w:spacing w:after="240"/>
      <w:ind w:left="702" w:hanging="702"/>
      <w:jc w:val="both"/>
    </w:pPr>
    <w:rPr>
      <w:b/>
    </w:rPr>
  </w:style>
  <w:style w:type="character" w:customStyle="1" w:styleId="Under">
    <w:name w:val="Under"/>
    <w:basedOn w:val="DefaultParagraphFont"/>
    <w:rsid w:val="006B3C1C"/>
    <w:rPr>
      <w:u w:val="single"/>
    </w:rPr>
  </w:style>
  <w:style w:type="table" w:styleId="TableGrid">
    <w:name w:val="Table Grid"/>
    <w:basedOn w:val="TableNormal"/>
    <w:rsid w:val="006B3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1"/>
    <w:aliases w:val="tt1"/>
    <w:basedOn w:val="Normal"/>
    <w:rsid w:val="006B3C1C"/>
  </w:style>
  <w:style w:type="paragraph" w:customStyle="1" w:styleId="Table2">
    <w:name w:val="Table2"/>
    <w:aliases w:val="tt2"/>
    <w:basedOn w:val="Normal"/>
    <w:rsid w:val="006B3C1C"/>
    <w:pPr>
      <w:spacing w:after="240"/>
    </w:pPr>
  </w:style>
  <w:style w:type="character" w:styleId="Hyperlink">
    <w:name w:val="Hyperlink"/>
    <w:basedOn w:val="DefaultParagraphFont"/>
    <w:rsid w:val="00D91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Marines, Debra L.</cp:lastModifiedBy>
  <cp:revision>5</cp:revision>
  <dcterms:created xsi:type="dcterms:W3CDTF">2018-05-14T14:56:00Z</dcterms:created>
  <dcterms:modified xsi:type="dcterms:W3CDTF">2020-05-05T19:26:00Z</dcterms:modified>
</cp:coreProperties>
</file>