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26" w:rsidRDefault="00F30A26" w:rsidP="00F30A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0A26" w:rsidRDefault="00F30A26" w:rsidP="00F30A2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160.450  Tank Trucks and Tank Wagons </w:t>
      </w:r>
      <w:r w:rsidR="00D02A30">
        <w:rPr>
          <w:b/>
          <w:bCs/>
        </w:rPr>
        <w:t>–</w:t>
      </w:r>
      <w:r>
        <w:rPr>
          <w:b/>
          <w:bCs/>
        </w:rPr>
        <w:t xml:space="preserve"> Bumpers</w:t>
      </w:r>
      <w:r>
        <w:t xml:space="preserve"> </w:t>
      </w:r>
    </w:p>
    <w:p w:rsidR="00F30A26" w:rsidRDefault="00F30A26" w:rsidP="00F30A26">
      <w:pPr>
        <w:widowControl w:val="0"/>
        <w:autoSpaceDE w:val="0"/>
        <w:autoSpaceDN w:val="0"/>
        <w:adjustRightInd w:val="0"/>
      </w:pPr>
    </w:p>
    <w:p w:rsidR="00F30A26" w:rsidRDefault="00F30A26" w:rsidP="00F30A26">
      <w:pPr>
        <w:widowControl w:val="0"/>
        <w:autoSpaceDE w:val="0"/>
        <w:autoSpaceDN w:val="0"/>
        <w:adjustRightInd w:val="0"/>
      </w:pPr>
      <w:r>
        <w:t xml:space="preserve">A heavy bumper shall be provided across the rear to protect all faucets in case of a rear end collision. </w:t>
      </w:r>
    </w:p>
    <w:p w:rsidR="00F30A26" w:rsidRDefault="00F30A26" w:rsidP="00F30A26">
      <w:pPr>
        <w:widowControl w:val="0"/>
        <w:autoSpaceDE w:val="0"/>
        <w:autoSpaceDN w:val="0"/>
        <w:adjustRightInd w:val="0"/>
      </w:pPr>
    </w:p>
    <w:p w:rsidR="00F30A26" w:rsidRDefault="00F30A26" w:rsidP="00F30A2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10012, effective October 1, 1985) </w:t>
      </w:r>
    </w:p>
    <w:sectPr w:rsidR="00F30A26" w:rsidSect="00F30A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0A26"/>
    <w:rsid w:val="005C3366"/>
    <w:rsid w:val="00851EC9"/>
    <w:rsid w:val="00BA4F24"/>
    <w:rsid w:val="00D02A30"/>
    <w:rsid w:val="00DE0EE3"/>
    <w:rsid w:val="00F3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General Assembly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