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D0" w:rsidRDefault="00AE5ED0" w:rsidP="00AE5E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5ED0" w:rsidRDefault="00AE5ED0" w:rsidP="00AE5ED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160.420  Tank Trucks and Tank Wagons </w:t>
      </w:r>
      <w:r w:rsidR="003320EC">
        <w:rPr>
          <w:b/>
          <w:bCs/>
        </w:rPr>
        <w:t>–</w:t>
      </w:r>
      <w:r>
        <w:rPr>
          <w:b/>
          <w:bCs/>
        </w:rPr>
        <w:t xml:space="preserve"> Double Bulkheads</w:t>
      </w:r>
      <w:r>
        <w:t xml:space="preserve"> </w:t>
      </w:r>
    </w:p>
    <w:p w:rsidR="00AE5ED0" w:rsidRDefault="00AE5ED0" w:rsidP="00AE5ED0">
      <w:pPr>
        <w:widowControl w:val="0"/>
        <w:autoSpaceDE w:val="0"/>
        <w:autoSpaceDN w:val="0"/>
        <w:adjustRightInd w:val="0"/>
      </w:pPr>
    </w:p>
    <w:p w:rsidR="00AE5ED0" w:rsidRDefault="00AE5ED0" w:rsidP="00AE5ED0">
      <w:pPr>
        <w:widowControl w:val="0"/>
        <w:autoSpaceDE w:val="0"/>
        <w:autoSpaceDN w:val="0"/>
        <w:adjustRightInd w:val="0"/>
      </w:pPr>
      <w:r>
        <w:t xml:space="preserve">Compartment tanks shall be constructed with double bulkheads unless they always carry the same class of liquids in the respective compartments (CLASS I, II, OR III). </w:t>
      </w:r>
    </w:p>
    <w:sectPr w:rsidR="00AE5ED0" w:rsidSect="00AE5E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5ED0"/>
    <w:rsid w:val="00276051"/>
    <w:rsid w:val="003320EC"/>
    <w:rsid w:val="005C3366"/>
    <w:rsid w:val="00685B4D"/>
    <w:rsid w:val="00AE5ED0"/>
    <w:rsid w:val="00BB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General Assembly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