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F" w:rsidRDefault="00D43AFF" w:rsidP="00D43A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AFF" w:rsidRDefault="00D43AFF" w:rsidP="00D43A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160.290  Location of Loading Dock</w:t>
      </w:r>
      <w:r>
        <w:t xml:space="preserve"> </w:t>
      </w:r>
    </w:p>
    <w:p w:rsidR="00D43AFF" w:rsidRDefault="00D43AFF" w:rsidP="00D43AFF">
      <w:pPr>
        <w:widowControl w:val="0"/>
        <w:autoSpaceDE w:val="0"/>
        <w:autoSpaceDN w:val="0"/>
        <w:adjustRightInd w:val="0"/>
      </w:pPr>
    </w:p>
    <w:p w:rsidR="00D43AFF" w:rsidRDefault="00D43AFF" w:rsidP="00D43AFF">
      <w:pPr>
        <w:widowControl w:val="0"/>
        <w:autoSpaceDE w:val="0"/>
        <w:autoSpaceDN w:val="0"/>
        <w:adjustRightInd w:val="0"/>
      </w:pPr>
      <w:r>
        <w:t xml:space="preserve">Truck loading docks and platforms shall be located not less than twenty-five (25) feet from storage tanks, plant buildings and property lines, except installations existing prior to April 14, 1977, which shall be not less than ten (10) feet. </w:t>
      </w:r>
    </w:p>
    <w:p w:rsidR="00D43AFF" w:rsidRDefault="00D43AFF" w:rsidP="00D43AFF">
      <w:pPr>
        <w:widowControl w:val="0"/>
        <w:autoSpaceDE w:val="0"/>
        <w:autoSpaceDN w:val="0"/>
        <w:adjustRightInd w:val="0"/>
      </w:pPr>
    </w:p>
    <w:p w:rsidR="00D43AFF" w:rsidRDefault="00D43AFF" w:rsidP="00D43A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D43AFF" w:rsidSect="00D43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AFF"/>
    <w:rsid w:val="00104539"/>
    <w:rsid w:val="0013498A"/>
    <w:rsid w:val="004C2EEA"/>
    <w:rsid w:val="005C3366"/>
    <w:rsid w:val="00D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