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45F9" w14:textId="77777777" w:rsidR="00913CDA" w:rsidRDefault="00913CDA" w:rsidP="00CB3208">
      <w:pPr>
        <w:widowControl w:val="0"/>
        <w:autoSpaceDE w:val="0"/>
        <w:autoSpaceDN w:val="0"/>
        <w:adjustRightInd w:val="0"/>
        <w:rPr>
          <w:b/>
          <w:bCs/>
        </w:rPr>
      </w:pPr>
    </w:p>
    <w:p w14:paraId="075363D6" w14:textId="1481815E" w:rsidR="00CB3208" w:rsidRDefault="00CB3208" w:rsidP="00CB32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2245A5">
        <w:rPr>
          <w:b/>
          <w:bCs/>
        </w:rPr>
        <w:t>1</w:t>
      </w:r>
      <w:r>
        <w:rPr>
          <w:b/>
          <w:bCs/>
        </w:rPr>
        <w:t xml:space="preserve">.120 </w:t>
      </w:r>
      <w:r w:rsidR="00BA0EDC">
        <w:rPr>
          <w:b/>
          <w:bCs/>
        </w:rPr>
        <w:t xml:space="preserve"> </w:t>
      </w:r>
      <w:r>
        <w:rPr>
          <w:b/>
          <w:bCs/>
        </w:rPr>
        <w:t>Course</w:t>
      </w:r>
      <w:proofErr w:type="gramEnd"/>
      <w:r>
        <w:rPr>
          <w:b/>
          <w:bCs/>
        </w:rPr>
        <w:t xml:space="preserve"> Equivalency</w:t>
      </w:r>
      <w:r>
        <w:t xml:space="preserve"> </w:t>
      </w:r>
    </w:p>
    <w:p w14:paraId="2529BE51" w14:textId="77777777" w:rsidR="00CB3208" w:rsidRDefault="00CB3208" w:rsidP="00CB3208">
      <w:pPr>
        <w:widowControl w:val="0"/>
        <w:autoSpaceDE w:val="0"/>
        <w:autoSpaceDN w:val="0"/>
        <w:adjustRightInd w:val="0"/>
      </w:pPr>
    </w:p>
    <w:p w14:paraId="4D76FE65" w14:textId="4B84BFF7" w:rsidR="00CB3208" w:rsidRDefault="00715DB0" w:rsidP="00CB3208">
      <w:pPr>
        <w:widowControl w:val="0"/>
        <w:autoSpaceDE w:val="0"/>
        <w:autoSpaceDN w:val="0"/>
        <w:adjustRightInd w:val="0"/>
      </w:pPr>
      <w:r>
        <w:t xml:space="preserve">Course equivalency may be granted to a candidate eligible to participate in the certification programs.  </w:t>
      </w:r>
      <w:r w:rsidR="00CB3208">
        <w:t xml:space="preserve">Courses </w:t>
      </w:r>
      <w:r w:rsidR="006C4239">
        <w:t xml:space="preserve">which do </w:t>
      </w:r>
      <w:r w:rsidR="00CB3208">
        <w:t xml:space="preserve">not </w:t>
      </w:r>
      <w:r w:rsidR="00F01D8F">
        <w:t>have</w:t>
      </w:r>
      <w:r w:rsidR="00CB3208">
        <w:t xml:space="preserve"> prior </w:t>
      </w:r>
      <w:r w:rsidR="0021198A">
        <w:t>Division</w:t>
      </w:r>
      <w:r w:rsidR="00CB3208">
        <w:t xml:space="preserve"> approval, but </w:t>
      </w:r>
      <w:r>
        <w:t>which</w:t>
      </w:r>
      <w:r w:rsidR="00CB3208">
        <w:t xml:space="preserve"> correlate with the content areas of the required courses by meeting the </w:t>
      </w:r>
      <w:r w:rsidR="00A04261">
        <w:t>requirements of this Section,</w:t>
      </w:r>
      <w:r w:rsidR="00CB3208">
        <w:t xml:space="preserve"> the applicable </w:t>
      </w:r>
      <w:r w:rsidR="00F21F13">
        <w:t>Standard</w:t>
      </w:r>
      <w:r w:rsidR="00F01D8F">
        <w:t xml:space="preserve"> and </w:t>
      </w:r>
      <w:r>
        <w:t xml:space="preserve">which </w:t>
      </w:r>
      <w:r w:rsidR="00F01D8F">
        <w:t>conclude with an evaluation of the</w:t>
      </w:r>
      <w:r>
        <w:t xml:space="preserve"> candidate</w:t>
      </w:r>
      <w:r w:rsidR="00F01D8F">
        <w:t>’s retention of course materials</w:t>
      </w:r>
      <w:r>
        <w:t xml:space="preserve"> </w:t>
      </w:r>
      <w:r w:rsidR="00CB3208">
        <w:t xml:space="preserve">may be granted </w:t>
      </w:r>
      <w:r w:rsidR="00EC7BAC">
        <w:t xml:space="preserve">course equivalency </w:t>
      </w:r>
      <w:r w:rsidR="00CB3208">
        <w:t xml:space="preserve">status by the </w:t>
      </w:r>
      <w:r w:rsidR="0021198A">
        <w:t>Divis</w:t>
      </w:r>
      <w:r w:rsidR="00C31575">
        <w:t>i</w:t>
      </w:r>
      <w:r w:rsidR="0021198A">
        <w:t>on</w:t>
      </w:r>
      <w:r w:rsidR="00CB3208">
        <w:t xml:space="preserve">. </w:t>
      </w:r>
      <w:r>
        <w:t>This c</w:t>
      </w:r>
      <w:r w:rsidR="00A04261">
        <w:t>ourse equivalency</w:t>
      </w:r>
      <w:r w:rsidR="00F01D8F">
        <w:t xml:space="preserve"> status indicates an approval</w:t>
      </w:r>
      <w:r w:rsidR="00CB3208">
        <w:t xml:space="preserve"> for certification purposes only, not for reimbursement.  </w:t>
      </w:r>
    </w:p>
    <w:p w14:paraId="690A41C7" w14:textId="77777777" w:rsidR="00CB3208" w:rsidRDefault="00CB3208" w:rsidP="00CB3208">
      <w:pPr>
        <w:widowControl w:val="0"/>
        <w:autoSpaceDE w:val="0"/>
        <w:autoSpaceDN w:val="0"/>
        <w:adjustRightInd w:val="0"/>
      </w:pPr>
    </w:p>
    <w:p w14:paraId="498A6E5F" w14:textId="631B711C" w:rsidR="00CB3208" w:rsidRDefault="00CB3208" w:rsidP="00CB32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C7BAC">
        <w:t>T</w:t>
      </w:r>
      <w:r w:rsidR="00F21F13" w:rsidRPr="009B14C4">
        <w:t>o request a</w:t>
      </w:r>
      <w:r w:rsidR="00EC7BAC">
        <w:t xml:space="preserve"> </w:t>
      </w:r>
      <w:r w:rsidR="00A04261">
        <w:t>course equivalency</w:t>
      </w:r>
      <w:r w:rsidR="00F21F13" w:rsidRPr="009B14C4">
        <w:t>, the candidate shall submit</w:t>
      </w:r>
      <w:r w:rsidR="0021198A">
        <w:t xml:space="preserve"> a letter to the Division requesting course equivalency with attached proof of course completion from the entity where the non-approved course was taken.  </w:t>
      </w:r>
      <w:r w:rsidR="00F21F13">
        <w:t>Proof of course</w:t>
      </w:r>
      <w:r w:rsidR="0021198A">
        <w:t xml:space="preserve"> completions </w:t>
      </w:r>
      <w:r w:rsidR="00F21F13">
        <w:t>shall</w:t>
      </w:r>
      <w:r w:rsidR="0021198A">
        <w:t xml:space="preserve"> include the applicable referenced </w:t>
      </w:r>
      <w:r w:rsidR="00F21F13">
        <w:t>Standard</w:t>
      </w:r>
      <w:r w:rsidR="0021198A">
        <w:t xml:space="preserve">.  Course equivalency </w:t>
      </w:r>
      <w:r w:rsidR="00F21F13">
        <w:t>shall</w:t>
      </w:r>
      <w:r w:rsidR="0021198A">
        <w:t xml:space="preserve"> be granted if the course is compliant </w:t>
      </w:r>
      <w:r w:rsidR="00715DB0">
        <w:t>with</w:t>
      </w:r>
      <w:r w:rsidR="0021198A">
        <w:t xml:space="preserve"> the specific </w:t>
      </w:r>
      <w:r w:rsidR="00F21F13">
        <w:t>Standard</w:t>
      </w:r>
      <w:r w:rsidR="00715DB0">
        <w:t xml:space="preserve"> referenced in the</w:t>
      </w:r>
      <w:r w:rsidR="0021198A">
        <w:t xml:space="preserve"> Illinois certification</w:t>
      </w:r>
      <w:r w:rsidR="00715DB0">
        <w:t xml:space="preserve"> in Subpart D</w:t>
      </w:r>
      <w:r w:rsidR="0021198A">
        <w:t xml:space="preserve">.  If the course completion does not include the applicable referenced </w:t>
      </w:r>
      <w:r w:rsidR="00F21F13">
        <w:t>Standard</w:t>
      </w:r>
      <w:r w:rsidR="0021198A">
        <w:t xml:space="preserve">, it </w:t>
      </w:r>
      <w:r w:rsidR="00F21F13">
        <w:t>shall be</w:t>
      </w:r>
      <w:r w:rsidR="0021198A">
        <w:t xml:space="preserve"> the responsibility of the </w:t>
      </w:r>
      <w:r w:rsidR="00F21F13">
        <w:t>candidate</w:t>
      </w:r>
      <w:r w:rsidR="0021198A">
        <w:t xml:space="preserve"> to obtain a formal letter from the legal or administrative staff of the entity where the non-approved course was taken</w:t>
      </w:r>
      <w:r w:rsidR="000832E5">
        <w:t>,</w:t>
      </w:r>
      <w:r w:rsidR="0021198A">
        <w:t xml:space="preserve"> stating the applicable </w:t>
      </w:r>
      <w:r w:rsidR="00F21F13">
        <w:t>Standard</w:t>
      </w:r>
      <w:r w:rsidR="0021198A">
        <w:t xml:space="preserve"> that was referenced for the specific course.  </w:t>
      </w:r>
      <w:r>
        <w:t xml:space="preserve">College catalog descriptions are not sufficient documentation for review. </w:t>
      </w:r>
    </w:p>
    <w:p w14:paraId="5EB90EBF" w14:textId="77777777" w:rsidR="00CB3208" w:rsidRDefault="00CB3208" w:rsidP="00C23394">
      <w:pPr>
        <w:widowControl w:val="0"/>
        <w:autoSpaceDE w:val="0"/>
        <w:autoSpaceDN w:val="0"/>
        <w:adjustRightInd w:val="0"/>
      </w:pPr>
    </w:p>
    <w:p w14:paraId="7C77A63A" w14:textId="1F16E16C" w:rsidR="00CB3208" w:rsidRDefault="0021198A" w:rsidP="00CB320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B3208">
        <w:t>)</w:t>
      </w:r>
      <w:r w:rsidR="00CB3208">
        <w:tab/>
        <w:t xml:space="preserve">When a course is granted </w:t>
      </w:r>
      <w:r w:rsidR="00A04261">
        <w:t xml:space="preserve">course </w:t>
      </w:r>
      <w:r w:rsidR="00CB3208">
        <w:t xml:space="preserve">equivalency, the </w:t>
      </w:r>
      <w:r w:rsidR="00F21F13">
        <w:t xml:space="preserve">candidate </w:t>
      </w:r>
      <w:r w:rsidR="00CB3208">
        <w:t xml:space="preserve">will be allowed to </w:t>
      </w:r>
      <w:r>
        <w:t>challenge</w:t>
      </w:r>
      <w:r w:rsidR="00CB3208">
        <w:t xml:space="preserve"> the State </w:t>
      </w:r>
      <w:r w:rsidR="00F21F13">
        <w:t>Written</w:t>
      </w:r>
      <w:r w:rsidR="00CB3208">
        <w:t xml:space="preserve"> and </w:t>
      </w:r>
      <w:r w:rsidR="00F21F13">
        <w:t>Practical Examinations</w:t>
      </w:r>
      <w:r w:rsidR="00CB3208">
        <w:t xml:space="preserve"> one time.  </w:t>
      </w:r>
      <w:r>
        <w:t xml:space="preserve">If passed on the first attempt and all certification prerequisites are met, the </w:t>
      </w:r>
      <w:r w:rsidR="00F21F13">
        <w:t xml:space="preserve">candidate </w:t>
      </w:r>
      <w:r>
        <w:t xml:space="preserve">will then be eligible for certification.  </w:t>
      </w:r>
      <w:r w:rsidR="00CB3208">
        <w:t xml:space="preserve">Failure of either the </w:t>
      </w:r>
      <w:r w:rsidR="00F21F13">
        <w:t>State Written</w:t>
      </w:r>
      <w:r w:rsidR="00CB3208">
        <w:t xml:space="preserve"> or </w:t>
      </w:r>
      <w:r w:rsidR="00F21F13">
        <w:t>Practi</w:t>
      </w:r>
      <w:r w:rsidR="00BA6327">
        <w:t>c</w:t>
      </w:r>
      <w:r w:rsidR="00F21F13">
        <w:t xml:space="preserve">al Examination </w:t>
      </w:r>
      <w:r w:rsidR="00CB3208">
        <w:t xml:space="preserve">will invalidate the </w:t>
      </w:r>
      <w:r w:rsidR="00F21F13">
        <w:t xml:space="preserve">course </w:t>
      </w:r>
      <w:r w:rsidR="00CB3208">
        <w:t>equivalency</w:t>
      </w:r>
      <w:r w:rsidR="00A04261">
        <w:t xml:space="preserve"> status</w:t>
      </w:r>
      <w:r w:rsidR="00CB3208">
        <w:t xml:space="preserve"> and require the </w:t>
      </w:r>
      <w:r w:rsidR="00D1252C">
        <w:t>candidate</w:t>
      </w:r>
      <w:r w:rsidR="00CB3208">
        <w:t xml:space="preserve"> to successfully complete </w:t>
      </w:r>
      <w:r w:rsidR="00A04261">
        <w:t xml:space="preserve">a </w:t>
      </w:r>
      <w:proofErr w:type="gramStart"/>
      <w:r w:rsidR="00A04261">
        <w:t>Division</w:t>
      </w:r>
      <w:proofErr w:type="gramEnd"/>
      <w:r w:rsidR="00D1252C">
        <w:t>-</w:t>
      </w:r>
      <w:r w:rsidR="00CB3208">
        <w:t xml:space="preserve">approved </w:t>
      </w:r>
      <w:r>
        <w:t xml:space="preserve">certification </w:t>
      </w:r>
      <w:r w:rsidR="00F21F13">
        <w:t>course</w:t>
      </w:r>
      <w:r w:rsidR="00CB3208">
        <w:t xml:space="preserve"> prior to </w:t>
      </w:r>
      <w:r>
        <w:t>challenging</w:t>
      </w:r>
      <w:r w:rsidR="00CB3208">
        <w:t xml:space="preserve"> the State </w:t>
      </w:r>
      <w:r w:rsidR="00F21F13">
        <w:t>Written</w:t>
      </w:r>
      <w:r w:rsidR="00CB3208">
        <w:t xml:space="preserve"> and </w:t>
      </w:r>
      <w:r w:rsidR="00F21F13">
        <w:t>Practical Examination</w:t>
      </w:r>
      <w:r w:rsidR="00CB3208">
        <w:t xml:space="preserve"> a second time. </w:t>
      </w:r>
    </w:p>
    <w:p w14:paraId="1530EE0B" w14:textId="77777777" w:rsidR="0021198A" w:rsidRDefault="0021198A" w:rsidP="00C23394">
      <w:pPr>
        <w:widowControl w:val="0"/>
        <w:autoSpaceDE w:val="0"/>
        <w:autoSpaceDN w:val="0"/>
        <w:adjustRightInd w:val="0"/>
      </w:pPr>
    </w:p>
    <w:p w14:paraId="1128CFED" w14:textId="5C2CBE2B" w:rsidR="0021198A" w:rsidRDefault="00F21F13" w:rsidP="00CB320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53AB8">
        <w:t>7</w:t>
      </w:r>
      <w:r>
        <w:t xml:space="preserve"> Ill. Reg. </w:t>
      </w:r>
      <w:r w:rsidR="000B4BB9">
        <w:t>424</w:t>
      </w:r>
      <w:r>
        <w:t xml:space="preserve">, effective </w:t>
      </w:r>
      <w:r w:rsidR="000B4BB9">
        <w:t>January 1, 2023</w:t>
      </w:r>
      <w:r>
        <w:t>)</w:t>
      </w:r>
    </w:p>
    <w:sectPr w:rsidR="0021198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7577" w14:textId="77777777" w:rsidR="00B93F17" w:rsidRDefault="00B93F17">
      <w:r>
        <w:separator/>
      </w:r>
    </w:p>
  </w:endnote>
  <w:endnote w:type="continuationSeparator" w:id="0">
    <w:p w14:paraId="3A2D96DF" w14:textId="77777777" w:rsidR="00B93F17" w:rsidRDefault="00B9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65DA" w14:textId="77777777" w:rsidR="00B93F17" w:rsidRDefault="00B93F17">
      <w:r>
        <w:separator/>
      </w:r>
    </w:p>
  </w:footnote>
  <w:footnote w:type="continuationSeparator" w:id="0">
    <w:p w14:paraId="4E94B22E" w14:textId="77777777" w:rsidR="00B93F17" w:rsidRDefault="00B9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1B3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1BFA"/>
    <w:rsid w:val="00067049"/>
    <w:rsid w:val="00070D27"/>
    <w:rsid w:val="00074368"/>
    <w:rsid w:val="00077979"/>
    <w:rsid w:val="00080F8A"/>
    <w:rsid w:val="000832E5"/>
    <w:rsid w:val="000868B1"/>
    <w:rsid w:val="00093EE8"/>
    <w:rsid w:val="000943C4"/>
    <w:rsid w:val="000969DC"/>
    <w:rsid w:val="00097B01"/>
    <w:rsid w:val="000A7B4B"/>
    <w:rsid w:val="000B4BB9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198A"/>
    <w:rsid w:val="002133B1"/>
    <w:rsid w:val="00216154"/>
    <w:rsid w:val="002209C0"/>
    <w:rsid w:val="002245A5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6282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48E5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60AD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0064"/>
    <w:rsid w:val="005F2E81"/>
    <w:rsid w:val="005F5C6B"/>
    <w:rsid w:val="005F69B7"/>
    <w:rsid w:val="00605618"/>
    <w:rsid w:val="006124C0"/>
    <w:rsid w:val="00621ED2"/>
    <w:rsid w:val="00625F7B"/>
    <w:rsid w:val="0065141B"/>
    <w:rsid w:val="006521B3"/>
    <w:rsid w:val="00670754"/>
    <w:rsid w:val="00671990"/>
    <w:rsid w:val="006836C5"/>
    <w:rsid w:val="006861B7"/>
    <w:rsid w:val="00694C82"/>
    <w:rsid w:val="006A2114"/>
    <w:rsid w:val="006B6333"/>
    <w:rsid w:val="006B7D52"/>
    <w:rsid w:val="006C02C0"/>
    <w:rsid w:val="006C0AD2"/>
    <w:rsid w:val="006C4239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15DB0"/>
    <w:rsid w:val="007209BE"/>
    <w:rsid w:val="00727763"/>
    <w:rsid w:val="00732C41"/>
    <w:rsid w:val="00740B36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07E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13CDA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04261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3F17"/>
    <w:rsid w:val="00B9680C"/>
    <w:rsid w:val="00BA0EDC"/>
    <w:rsid w:val="00BA1E5E"/>
    <w:rsid w:val="00BA5645"/>
    <w:rsid w:val="00BA6327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3394"/>
    <w:rsid w:val="00C24F50"/>
    <w:rsid w:val="00C31575"/>
    <w:rsid w:val="00C319B3"/>
    <w:rsid w:val="00C33034"/>
    <w:rsid w:val="00C42A93"/>
    <w:rsid w:val="00C43D69"/>
    <w:rsid w:val="00C4537A"/>
    <w:rsid w:val="00C53AB8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3208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52C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566F2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C7BAC"/>
    <w:rsid w:val="00ED563C"/>
    <w:rsid w:val="00ED690E"/>
    <w:rsid w:val="00EF680E"/>
    <w:rsid w:val="00EF7935"/>
    <w:rsid w:val="00F01D8F"/>
    <w:rsid w:val="00F104DB"/>
    <w:rsid w:val="00F110E6"/>
    <w:rsid w:val="00F12620"/>
    <w:rsid w:val="00F128F8"/>
    <w:rsid w:val="00F21F13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2B9C0"/>
  <w15:docId w15:val="{DF0BD86A-1E73-4C9C-844D-C5334988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CB32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2023-01-13T19:33:00Z</dcterms:modified>
</cp:coreProperties>
</file>