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C0" w:rsidRDefault="00866EC0" w:rsidP="00866E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6EC0" w:rsidRDefault="00866EC0" w:rsidP="00866EC0">
      <w:pPr>
        <w:widowControl w:val="0"/>
        <w:autoSpaceDE w:val="0"/>
        <w:autoSpaceDN w:val="0"/>
        <w:adjustRightInd w:val="0"/>
      </w:pPr>
      <w:r>
        <w:t xml:space="preserve">AUTHORITY:  Implementing the Boiler and Pressure Vessel Repairer Regulation Act [225 ILCS 203] and authorized by Section 25 of that Act. </w:t>
      </w:r>
    </w:p>
    <w:sectPr w:rsidR="00866EC0" w:rsidSect="00866E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EC0"/>
    <w:rsid w:val="000A5D8F"/>
    <w:rsid w:val="003D27A0"/>
    <w:rsid w:val="005C3366"/>
    <w:rsid w:val="00866EC0"/>
    <w:rsid w:val="00B274F2"/>
    <w:rsid w:val="00D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Boiler and Pressure Vessel Repairer Regulation Act [225 ILCS 203] and authorized by Section 25 of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Boiler and Pressure Vessel Repairer Regulation Act [225 ILCS 203] and authorized by Section 25 of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