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B3" w:rsidRDefault="004C2EB3" w:rsidP="004C2E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2EB3" w:rsidRDefault="004C2EB3" w:rsidP="004C2EB3">
      <w:pPr>
        <w:widowControl w:val="0"/>
        <w:autoSpaceDE w:val="0"/>
        <w:autoSpaceDN w:val="0"/>
        <w:adjustRightInd w:val="0"/>
        <w:jc w:val="center"/>
      </w:pPr>
      <w:r>
        <w:t>SUBPART P:  DEFAULT AND FORECLOSURE RATES ON CONVENTIONAL LOANS</w:t>
      </w:r>
    </w:p>
    <w:sectPr w:rsidR="004C2EB3" w:rsidSect="004C2E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EB3"/>
    <w:rsid w:val="004C2EB3"/>
    <w:rsid w:val="00547382"/>
    <w:rsid w:val="005C3366"/>
    <w:rsid w:val="006043C2"/>
    <w:rsid w:val="00A557EE"/>
    <w:rsid w:val="00D4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DEFAULT AND FORECLOSURE RATES ON CONVENTIONAL LOANS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DEFAULT AND FORECLOSURE RATES ON CONVENTIONAL LOANS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