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A8" w:rsidRDefault="00C711A8" w:rsidP="00C711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1A8" w:rsidRDefault="00C711A8" w:rsidP="00C71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397.40  Restoring the Account</w:t>
      </w:r>
      <w:r>
        <w:t xml:space="preserve"> </w:t>
      </w:r>
    </w:p>
    <w:p w:rsidR="00C711A8" w:rsidRDefault="00C711A8" w:rsidP="00C711A8">
      <w:pPr>
        <w:widowControl w:val="0"/>
        <w:autoSpaceDE w:val="0"/>
        <w:autoSpaceDN w:val="0"/>
        <w:adjustRightInd w:val="0"/>
      </w:pPr>
    </w:p>
    <w:p w:rsidR="00C711A8" w:rsidRDefault="00C711A8" w:rsidP="00C711A8">
      <w:pPr>
        <w:widowControl w:val="0"/>
        <w:autoSpaceDE w:val="0"/>
        <w:autoSpaceDN w:val="0"/>
        <w:adjustRightInd w:val="0"/>
      </w:pPr>
      <w:r>
        <w:t xml:space="preserve">If expenditures are made from the Account, assessments under Section 397.30 will be continued or reinstituted until the balance in the Account is restored to the maximum amount </w:t>
      </w:r>
      <w:r w:rsidR="00E15D90">
        <w:t>established</w:t>
      </w:r>
      <w:r>
        <w:t xml:space="preserve"> by Section 5-10 of the Act. </w:t>
      </w:r>
    </w:p>
    <w:p w:rsidR="00C711A8" w:rsidRDefault="00C711A8" w:rsidP="00C711A8">
      <w:pPr>
        <w:widowControl w:val="0"/>
        <w:autoSpaceDE w:val="0"/>
        <w:autoSpaceDN w:val="0"/>
        <w:adjustRightInd w:val="0"/>
      </w:pPr>
    </w:p>
    <w:p w:rsidR="00C711A8" w:rsidRDefault="00C711A8" w:rsidP="00C711A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1677, effective January 23, 2002) </w:t>
      </w:r>
    </w:p>
    <w:sectPr w:rsidR="00C711A8" w:rsidSect="00C71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1A8"/>
    <w:rsid w:val="0024723A"/>
    <w:rsid w:val="003117E7"/>
    <w:rsid w:val="005C3366"/>
    <w:rsid w:val="007012E7"/>
    <w:rsid w:val="00C711A8"/>
    <w:rsid w:val="00E1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397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397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