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95" w:rsidRDefault="00952595" w:rsidP="00952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595" w:rsidRDefault="00952595" w:rsidP="00952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375.51  Assessment of Accrued Fees Against a Corporate Fiduciary</w:t>
      </w:r>
      <w:r>
        <w:t xml:space="preserve"> </w:t>
      </w:r>
    </w:p>
    <w:p w:rsidR="00952595" w:rsidRDefault="00952595" w:rsidP="00952595">
      <w:pPr>
        <w:widowControl w:val="0"/>
        <w:autoSpaceDE w:val="0"/>
        <w:autoSpaceDN w:val="0"/>
        <w:adjustRightInd w:val="0"/>
      </w:pPr>
    </w:p>
    <w:p w:rsidR="00952595" w:rsidRDefault="00952595" w:rsidP="00952595">
      <w:pPr>
        <w:widowControl w:val="0"/>
        <w:autoSpaceDE w:val="0"/>
        <w:autoSpaceDN w:val="0"/>
        <w:adjustRightInd w:val="0"/>
      </w:pPr>
      <w:r>
        <w:t xml:space="preserve">When a corporate fiduciary surrenders its certificate of authority, that corporate fiduciary shall be liable on a pro rata basis to the Commissioner for the accumulated Corporate Fiduciary Regulatory Fee up to, and including, the date of surrender. </w:t>
      </w:r>
    </w:p>
    <w:p w:rsidR="00952595" w:rsidRDefault="00952595" w:rsidP="00952595">
      <w:pPr>
        <w:widowControl w:val="0"/>
        <w:autoSpaceDE w:val="0"/>
        <w:autoSpaceDN w:val="0"/>
        <w:adjustRightInd w:val="0"/>
      </w:pPr>
    </w:p>
    <w:p w:rsidR="00952595" w:rsidRDefault="00952595" w:rsidP="009525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225, effective December 31, 1999) </w:t>
      </w:r>
    </w:p>
    <w:sectPr w:rsidR="00952595" w:rsidSect="00952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595"/>
    <w:rsid w:val="000540EB"/>
    <w:rsid w:val="002700CD"/>
    <w:rsid w:val="005C3366"/>
    <w:rsid w:val="00952595"/>
    <w:rsid w:val="00D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