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A3" w:rsidRDefault="00F11AA3" w:rsidP="00F11A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11AA3" w:rsidRDefault="00F11AA3" w:rsidP="00F11AA3">
      <w:pPr>
        <w:widowControl w:val="0"/>
        <w:autoSpaceDE w:val="0"/>
        <w:autoSpaceDN w:val="0"/>
        <w:adjustRightInd w:val="0"/>
      </w:pPr>
      <w:r>
        <w:t xml:space="preserve">AUTHORITY:  Implementing and authorized by the Pawnbroker Regulation Act [205 ILCS 510]. </w:t>
      </w:r>
    </w:p>
    <w:sectPr w:rsidR="00F11AA3" w:rsidSect="00F11A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11AA3"/>
    <w:rsid w:val="005C3366"/>
    <w:rsid w:val="00841886"/>
    <w:rsid w:val="00A84940"/>
    <w:rsid w:val="00DB50BE"/>
    <w:rsid w:val="00F1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Pawnbroker Regulation Act [205 ILCS 510]</vt:lpstr>
    </vt:vector>
  </TitlesOfParts>
  <Company>state of illinois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Pawnbroker Regulation Act [205 ILCS 510]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