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AC" w:rsidRDefault="006D61AC" w:rsidP="006D61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61AC" w:rsidRDefault="006D61AC" w:rsidP="006D61AC">
      <w:pPr>
        <w:widowControl w:val="0"/>
        <w:autoSpaceDE w:val="0"/>
        <w:autoSpaceDN w:val="0"/>
        <w:adjustRightInd w:val="0"/>
        <w:jc w:val="center"/>
      </w:pPr>
      <w:r>
        <w:t>PART 325</w:t>
      </w:r>
    </w:p>
    <w:p w:rsidR="006D61AC" w:rsidRDefault="006D61AC" w:rsidP="006D61AC">
      <w:pPr>
        <w:widowControl w:val="0"/>
        <w:autoSpaceDE w:val="0"/>
        <w:autoSpaceDN w:val="0"/>
        <w:adjustRightInd w:val="0"/>
        <w:jc w:val="center"/>
      </w:pPr>
      <w:r>
        <w:t>DISCLOSURE OF CONFIDENTIAL SUPERVISORY INFORMATION</w:t>
      </w:r>
    </w:p>
    <w:sectPr w:rsidR="006D61AC" w:rsidSect="006D61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61AC"/>
    <w:rsid w:val="00190281"/>
    <w:rsid w:val="005C3366"/>
    <w:rsid w:val="006D61AC"/>
    <w:rsid w:val="00886490"/>
    <w:rsid w:val="00D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325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325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