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14" w:rsidRDefault="002E2F14" w:rsidP="002E2F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F14" w:rsidRDefault="002E2F14" w:rsidP="002E2F14">
      <w:pPr>
        <w:widowControl w:val="0"/>
        <w:autoSpaceDE w:val="0"/>
        <w:autoSpaceDN w:val="0"/>
        <w:adjustRightInd w:val="0"/>
        <w:jc w:val="center"/>
      </w:pPr>
      <w:r>
        <w:t>SUBPART C:  PROCEDURES FOR THE PAYMENT OF PIMW TRANSPORTER FEES</w:t>
      </w:r>
    </w:p>
    <w:sectPr w:rsidR="002E2F14" w:rsidSect="002E2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F14"/>
    <w:rsid w:val="002E2F14"/>
    <w:rsid w:val="004713A4"/>
    <w:rsid w:val="005C3366"/>
    <w:rsid w:val="00D3383B"/>
    <w:rsid w:val="00D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THE PAYMENT OF PIMW TRANSPORTER FEES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THE PAYMENT OF PIMW TRANSPORTER FEES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