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3F" w:rsidRDefault="00830E3F" w:rsidP="00830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E3F" w:rsidRDefault="00830E3F" w:rsidP="00830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886.500  Fixed Loan Rate</w:t>
      </w:r>
      <w:r>
        <w:t xml:space="preserve"> </w:t>
      </w:r>
    </w:p>
    <w:p w:rsidR="00830E3F" w:rsidRDefault="00830E3F" w:rsidP="00830E3F">
      <w:pPr>
        <w:widowControl w:val="0"/>
        <w:autoSpaceDE w:val="0"/>
        <w:autoSpaceDN w:val="0"/>
        <w:adjustRightInd w:val="0"/>
      </w:pPr>
    </w:p>
    <w:p w:rsidR="00830E3F" w:rsidRDefault="00830E3F" w:rsidP="00830E3F">
      <w:pPr>
        <w:widowControl w:val="0"/>
        <w:autoSpaceDE w:val="0"/>
        <w:autoSpaceDN w:val="0"/>
        <w:adjustRightInd w:val="0"/>
      </w:pPr>
      <w:r>
        <w:t xml:space="preserve">The fixed loan rate is comprised of an interest rate and a loan support rate. The fixed loan rate charged for a brownfields redevelopment loan shall be a simple annual rate at one-half the market interest rate, but not less than 2.50%. </w:t>
      </w:r>
    </w:p>
    <w:sectPr w:rsidR="00830E3F" w:rsidSect="00830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E3F"/>
    <w:rsid w:val="00373386"/>
    <w:rsid w:val="005C3366"/>
    <w:rsid w:val="00830E3F"/>
    <w:rsid w:val="00922127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