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9E" w:rsidRDefault="00256B9E" w:rsidP="00256B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6B9E" w:rsidRDefault="00256B9E" w:rsidP="00256B9E">
      <w:pPr>
        <w:widowControl w:val="0"/>
        <w:autoSpaceDE w:val="0"/>
        <w:autoSpaceDN w:val="0"/>
        <w:adjustRightInd w:val="0"/>
        <w:jc w:val="center"/>
      </w:pPr>
      <w:r>
        <w:t>SUBPART B:  STANDARDS FOR UNITS ACCEPTING INERT WASTE</w:t>
      </w:r>
    </w:p>
    <w:sectPr w:rsidR="00256B9E" w:rsidSect="00256B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B9E"/>
    <w:rsid w:val="00144D24"/>
    <w:rsid w:val="00202FAD"/>
    <w:rsid w:val="00256B9E"/>
    <w:rsid w:val="005C3366"/>
    <w:rsid w:val="007B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STANDARDS FOR UNITS ACCEPTING INERT WASTE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STANDARDS FOR UNITS ACCEPTING INERT WASTE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