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F2" w:rsidRDefault="002C0AF2" w:rsidP="002C0A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0AF2" w:rsidRDefault="002C0AF2" w:rsidP="002C0AF2">
      <w:pPr>
        <w:widowControl w:val="0"/>
        <w:autoSpaceDE w:val="0"/>
        <w:autoSpaceDN w:val="0"/>
        <w:adjustRightInd w:val="0"/>
        <w:jc w:val="center"/>
      </w:pPr>
      <w:r>
        <w:t>SUBPART A:  GENERAL STANDARDS FOR ALL LANDFILLS</w:t>
      </w:r>
    </w:p>
    <w:sectPr w:rsidR="002C0AF2" w:rsidSect="002C0A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AF2"/>
    <w:rsid w:val="001760F5"/>
    <w:rsid w:val="001A3B4C"/>
    <w:rsid w:val="002C0AF2"/>
    <w:rsid w:val="00320A1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STANDARDS FOR ALL LANDFILLS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STANDARDS FOR ALL LANDFILLS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