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E4" w:rsidRDefault="00D054E4" w:rsidP="00D054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54E4" w:rsidRDefault="00D054E4" w:rsidP="00D054E4">
      <w:pPr>
        <w:widowControl w:val="0"/>
        <w:autoSpaceDE w:val="0"/>
        <w:autoSpaceDN w:val="0"/>
        <w:adjustRightInd w:val="0"/>
        <w:jc w:val="center"/>
      </w:pPr>
      <w:r>
        <w:t>SUBPART F:  RECYCLABLE MATERIALS UTILIZED FOR</w:t>
      </w:r>
    </w:p>
    <w:p w:rsidR="00D054E4" w:rsidRDefault="00D054E4" w:rsidP="00D054E4">
      <w:pPr>
        <w:widowControl w:val="0"/>
        <w:autoSpaceDE w:val="0"/>
        <w:autoSpaceDN w:val="0"/>
        <w:adjustRightInd w:val="0"/>
        <w:jc w:val="center"/>
      </w:pPr>
      <w:r>
        <w:t>PRECIOUS METAL RECOVERY</w:t>
      </w:r>
    </w:p>
    <w:sectPr w:rsidR="00D054E4" w:rsidSect="00D054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4E4"/>
    <w:rsid w:val="005C3366"/>
    <w:rsid w:val="008A3317"/>
    <w:rsid w:val="008F4F96"/>
    <w:rsid w:val="00D01198"/>
    <w:rsid w:val="00D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RECYCLABLE MATERIALS UTILIZED FOR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RECYCLABLE MATERIALS UTILIZED FOR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