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0A4" w:rsidRDefault="003D1876" w:rsidP="003D1876">
      <w:pPr>
        <w:widowControl w:val="0"/>
        <w:autoSpaceDE w:val="0"/>
        <w:autoSpaceDN w:val="0"/>
        <w:adjustRightInd w:val="0"/>
      </w:pPr>
      <w:bookmarkStart w:id="0" w:name="_GoBack"/>
      <w:bookmarkEnd w:id="0"/>
      <w:r>
        <w:br w:type="page"/>
      </w:r>
      <w:r w:rsidR="007950A4">
        <w:rPr>
          <w:b/>
          <w:bCs/>
        </w:rPr>
        <w:t xml:space="preserve">Section 671.APPENDIX E  </w:t>
      </w:r>
      <w:r w:rsidR="009D4260">
        <w:rPr>
          <w:b/>
          <w:bCs/>
        </w:rPr>
        <w:t xml:space="preserve"> </w:t>
      </w:r>
      <w:proofErr w:type="spellStart"/>
      <w:r w:rsidR="007950A4">
        <w:rPr>
          <w:b/>
          <w:bCs/>
        </w:rPr>
        <w:t>Theis</w:t>
      </w:r>
      <w:proofErr w:type="spellEnd"/>
      <w:r w:rsidR="007950A4">
        <w:rPr>
          <w:b/>
          <w:bCs/>
        </w:rPr>
        <w:t xml:space="preserve"> Equations </w:t>
      </w:r>
      <w:r w:rsidR="009D4260">
        <w:rPr>
          <w:b/>
          <w:bCs/>
        </w:rPr>
        <w:t>A</w:t>
      </w:r>
      <w:r w:rsidR="007950A4">
        <w:rPr>
          <w:b/>
          <w:bCs/>
        </w:rPr>
        <w:t>nd Pump Test Procedures for Confined Aquifers</w:t>
      </w:r>
      <w:r w:rsidR="007950A4">
        <w:t xml:space="preserve"> </w:t>
      </w:r>
    </w:p>
    <w:p w:rsidR="007950A4" w:rsidRDefault="007950A4" w:rsidP="003D1876">
      <w:pPr>
        <w:widowControl w:val="0"/>
        <w:autoSpaceDE w:val="0"/>
        <w:autoSpaceDN w:val="0"/>
        <w:adjustRightInd w:val="0"/>
      </w:pPr>
    </w:p>
    <w:p w:rsidR="007950A4" w:rsidRDefault="007950A4" w:rsidP="003D1876">
      <w:pPr>
        <w:widowControl w:val="0"/>
        <w:autoSpaceDE w:val="0"/>
        <w:autoSpaceDN w:val="0"/>
        <w:adjustRightInd w:val="0"/>
      </w:pPr>
      <w:r>
        <w:t xml:space="preserve">If no data exists for confined unconsolidated or non-fractured bedrock aquifer constants, a pump test can be conducted to determine the lateral radius of influence as follows: </w:t>
      </w:r>
    </w:p>
    <w:p w:rsidR="007950A4" w:rsidRDefault="007950A4" w:rsidP="003D1876">
      <w:pPr>
        <w:widowControl w:val="0"/>
        <w:autoSpaceDE w:val="0"/>
        <w:autoSpaceDN w:val="0"/>
        <w:adjustRightInd w:val="0"/>
      </w:pPr>
    </w:p>
    <w:p w:rsidR="007950A4" w:rsidRDefault="007950A4" w:rsidP="003D1876">
      <w:pPr>
        <w:widowControl w:val="0"/>
        <w:autoSpaceDE w:val="0"/>
        <w:autoSpaceDN w:val="0"/>
        <w:adjustRightInd w:val="0"/>
        <w:ind w:left="1080" w:hanging="480"/>
      </w:pPr>
      <w:r>
        <w:t>A.</w:t>
      </w:r>
      <w:r>
        <w:tab/>
        <w:t xml:space="preserve">At least one fully penetrating piezometer is necessary. </w:t>
      </w:r>
    </w:p>
    <w:p w:rsidR="007950A4" w:rsidRDefault="007950A4" w:rsidP="003D1876">
      <w:pPr>
        <w:widowControl w:val="0"/>
        <w:autoSpaceDE w:val="0"/>
        <w:autoSpaceDN w:val="0"/>
        <w:adjustRightInd w:val="0"/>
        <w:ind w:left="1080" w:hanging="480"/>
      </w:pPr>
    </w:p>
    <w:p w:rsidR="007950A4" w:rsidRDefault="007950A4" w:rsidP="003D1876">
      <w:pPr>
        <w:widowControl w:val="0"/>
        <w:autoSpaceDE w:val="0"/>
        <w:autoSpaceDN w:val="0"/>
        <w:adjustRightInd w:val="0"/>
        <w:ind w:left="1080" w:hanging="480"/>
      </w:pPr>
      <w:r>
        <w:t>B.</w:t>
      </w:r>
      <w:r>
        <w:tab/>
        <w:t xml:space="preserve">The pump test should be conducted for at least 24 hours. </w:t>
      </w:r>
    </w:p>
    <w:p w:rsidR="007950A4" w:rsidRDefault="007950A4" w:rsidP="003D1876">
      <w:pPr>
        <w:widowControl w:val="0"/>
        <w:autoSpaceDE w:val="0"/>
        <w:autoSpaceDN w:val="0"/>
        <w:adjustRightInd w:val="0"/>
        <w:ind w:left="1080" w:hanging="480"/>
      </w:pPr>
    </w:p>
    <w:p w:rsidR="007950A4" w:rsidRDefault="007950A4" w:rsidP="003D1876">
      <w:pPr>
        <w:widowControl w:val="0"/>
        <w:autoSpaceDE w:val="0"/>
        <w:autoSpaceDN w:val="0"/>
        <w:adjustRightInd w:val="0"/>
        <w:ind w:left="1080" w:hanging="480"/>
      </w:pPr>
      <w:r>
        <w:t>C.</w:t>
      </w:r>
      <w:r>
        <w:tab/>
        <w:t xml:space="preserve">The flow equations for confined aquifers are as follows: </w:t>
      </w:r>
    </w:p>
    <w:p w:rsidR="007950A4" w:rsidRDefault="007950A4" w:rsidP="003D1876">
      <w:pPr>
        <w:widowControl w:val="0"/>
        <w:autoSpaceDE w:val="0"/>
        <w:autoSpaceDN w:val="0"/>
        <w:adjustRightInd w:val="0"/>
        <w:ind w:left="1080" w:hanging="480"/>
      </w:pPr>
    </w:p>
    <w:tbl>
      <w:tblPr>
        <w:tblStyle w:val="TableGrid"/>
        <w:tblW w:w="0" w:type="auto"/>
        <w:tblInd w:w="2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1"/>
        <w:gridCol w:w="1899"/>
      </w:tblGrid>
      <w:tr w:rsidR="00166065">
        <w:tc>
          <w:tcPr>
            <w:tcW w:w="711" w:type="dxa"/>
            <w:vMerge w:val="restart"/>
            <w:vAlign w:val="center"/>
          </w:tcPr>
          <w:p w:rsidR="00166065" w:rsidRDefault="00166065" w:rsidP="003D1876">
            <w:pPr>
              <w:jc w:val="right"/>
            </w:pPr>
            <w:r>
              <w:t>T =</w:t>
            </w:r>
          </w:p>
        </w:tc>
        <w:tc>
          <w:tcPr>
            <w:tcW w:w="1899" w:type="dxa"/>
            <w:tcBorders>
              <w:bottom w:val="single" w:sz="4" w:space="0" w:color="auto"/>
            </w:tcBorders>
          </w:tcPr>
          <w:p w:rsidR="00166065" w:rsidRDefault="00166065" w:rsidP="003D1876">
            <w:pPr>
              <w:jc w:val="center"/>
            </w:pPr>
            <w:r>
              <w:t>1</w:t>
            </w:r>
            <w:r w:rsidR="007950A4">
              <w:t>14</w:t>
            </w:r>
            <w:r>
              <w:t>.6Q    W(u)</w:t>
            </w:r>
          </w:p>
        </w:tc>
      </w:tr>
      <w:tr w:rsidR="00166065">
        <w:trPr>
          <w:trHeight w:val="323"/>
        </w:trPr>
        <w:tc>
          <w:tcPr>
            <w:tcW w:w="711" w:type="dxa"/>
            <w:vMerge/>
          </w:tcPr>
          <w:p w:rsidR="00166065" w:rsidRDefault="00166065" w:rsidP="003D1876"/>
        </w:tc>
        <w:tc>
          <w:tcPr>
            <w:tcW w:w="1899" w:type="dxa"/>
          </w:tcPr>
          <w:p w:rsidR="00166065" w:rsidRPr="00E45240" w:rsidRDefault="00166065" w:rsidP="003D1876">
            <w:pPr>
              <w:ind w:left="123" w:hanging="123"/>
              <w:jc w:val="center"/>
            </w:pPr>
            <w:r>
              <w:t>h</w:t>
            </w:r>
            <w:r w:rsidRPr="007950A4">
              <w:rPr>
                <w:rFonts w:ascii="Times" w:hAnsi="Times" w:cs="Times"/>
                <w:sz w:val="20"/>
                <w:szCs w:val="20"/>
                <w:vertAlign w:val="subscript"/>
              </w:rPr>
              <w:t>o</w:t>
            </w:r>
            <w:r>
              <w:rPr>
                <w:rFonts w:ascii="Times" w:hAnsi="Times" w:cs="Times"/>
              </w:rPr>
              <w:t>-h</w:t>
            </w:r>
          </w:p>
        </w:tc>
      </w:tr>
    </w:tbl>
    <w:p w:rsidR="00166065" w:rsidRDefault="00166065" w:rsidP="003D1876"/>
    <w:tbl>
      <w:tblPr>
        <w:tblStyle w:val="TableGrid"/>
        <w:tblW w:w="0" w:type="auto"/>
        <w:tblInd w:w="2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38"/>
        <w:gridCol w:w="1287"/>
      </w:tblGrid>
      <w:tr w:rsidR="00166065">
        <w:tc>
          <w:tcPr>
            <w:tcW w:w="738" w:type="dxa"/>
            <w:vMerge w:val="restart"/>
            <w:vAlign w:val="center"/>
          </w:tcPr>
          <w:p w:rsidR="00166065" w:rsidRDefault="00166065" w:rsidP="003D1876">
            <w:pPr>
              <w:jc w:val="right"/>
            </w:pPr>
            <w:r>
              <w:t>u =</w:t>
            </w:r>
          </w:p>
        </w:tc>
        <w:tc>
          <w:tcPr>
            <w:tcW w:w="1287" w:type="dxa"/>
            <w:tcBorders>
              <w:bottom w:val="single" w:sz="4" w:space="0" w:color="auto"/>
            </w:tcBorders>
            <w:vAlign w:val="bottom"/>
          </w:tcPr>
          <w:p w:rsidR="00166065" w:rsidRDefault="00166065" w:rsidP="003D1876">
            <w:pPr>
              <w:jc w:val="center"/>
            </w:pPr>
            <w:r>
              <w:t>2693r</w:t>
            </w:r>
            <w:r w:rsidRPr="00E45240">
              <w:rPr>
                <w:rFonts w:ascii="Times" w:hAnsi="Times" w:cs="Times"/>
                <w:vertAlign w:val="superscript"/>
              </w:rPr>
              <w:t>2</w:t>
            </w:r>
            <w:r>
              <w:t>S</w:t>
            </w:r>
          </w:p>
        </w:tc>
      </w:tr>
      <w:tr w:rsidR="00166065">
        <w:tc>
          <w:tcPr>
            <w:tcW w:w="738" w:type="dxa"/>
            <w:vMerge/>
            <w:vAlign w:val="bottom"/>
          </w:tcPr>
          <w:p w:rsidR="00166065" w:rsidRDefault="00166065" w:rsidP="003D1876"/>
        </w:tc>
        <w:tc>
          <w:tcPr>
            <w:tcW w:w="1287" w:type="dxa"/>
            <w:tcBorders>
              <w:top w:val="single" w:sz="4" w:space="0" w:color="auto"/>
            </w:tcBorders>
            <w:vAlign w:val="bottom"/>
          </w:tcPr>
          <w:p w:rsidR="00166065" w:rsidRDefault="00166065" w:rsidP="003D1876">
            <w:pPr>
              <w:jc w:val="center"/>
            </w:pPr>
            <w:proofErr w:type="spellStart"/>
            <w:r>
              <w:t>Tt</w:t>
            </w:r>
            <w:proofErr w:type="spellEnd"/>
          </w:p>
        </w:tc>
      </w:tr>
    </w:tbl>
    <w:p w:rsidR="00166065" w:rsidRDefault="00166065" w:rsidP="003D1876"/>
    <w:tbl>
      <w:tblPr>
        <w:tblStyle w:val="TableGrid"/>
        <w:tblW w:w="0" w:type="auto"/>
        <w:tblInd w:w="2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20"/>
        <w:gridCol w:w="1008"/>
      </w:tblGrid>
      <w:tr w:rsidR="00166065">
        <w:tc>
          <w:tcPr>
            <w:tcW w:w="720" w:type="dxa"/>
            <w:vMerge w:val="restart"/>
            <w:vAlign w:val="center"/>
          </w:tcPr>
          <w:p w:rsidR="00166065" w:rsidRDefault="00166065" w:rsidP="003D1876">
            <w:pPr>
              <w:jc w:val="right"/>
            </w:pPr>
            <w:r>
              <w:t>S =</w:t>
            </w:r>
          </w:p>
        </w:tc>
        <w:tc>
          <w:tcPr>
            <w:tcW w:w="1008" w:type="dxa"/>
            <w:tcBorders>
              <w:bottom w:val="single" w:sz="4" w:space="0" w:color="auto"/>
            </w:tcBorders>
            <w:vAlign w:val="bottom"/>
          </w:tcPr>
          <w:p w:rsidR="00166065" w:rsidRDefault="00166065" w:rsidP="003D1876">
            <w:pPr>
              <w:jc w:val="center"/>
            </w:pPr>
            <w:proofErr w:type="spellStart"/>
            <w:r>
              <w:t>Ttu</w:t>
            </w:r>
            <w:proofErr w:type="spellEnd"/>
          </w:p>
        </w:tc>
      </w:tr>
      <w:tr w:rsidR="00166065">
        <w:tc>
          <w:tcPr>
            <w:tcW w:w="720" w:type="dxa"/>
            <w:vMerge/>
            <w:vAlign w:val="bottom"/>
          </w:tcPr>
          <w:p w:rsidR="00166065" w:rsidRDefault="00166065" w:rsidP="003D1876"/>
        </w:tc>
        <w:tc>
          <w:tcPr>
            <w:tcW w:w="1008" w:type="dxa"/>
            <w:tcBorders>
              <w:top w:val="single" w:sz="4" w:space="0" w:color="auto"/>
            </w:tcBorders>
            <w:vAlign w:val="bottom"/>
          </w:tcPr>
          <w:p w:rsidR="00166065" w:rsidRDefault="00166065" w:rsidP="003D1876">
            <w:pPr>
              <w:jc w:val="center"/>
            </w:pPr>
            <w:r>
              <w:t>2693r</w:t>
            </w:r>
            <w:r w:rsidRPr="00E45240">
              <w:rPr>
                <w:rFonts w:ascii="Times" w:hAnsi="Times" w:cs="Times"/>
                <w:vertAlign w:val="superscript"/>
              </w:rPr>
              <w:t>2</w:t>
            </w:r>
          </w:p>
        </w:tc>
      </w:tr>
    </w:tbl>
    <w:p w:rsidR="00166065" w:rsidRDefault="00166065" w:rsidP="003D1876"/>
    <w:p w:rsidR="007950A4" w:rsidRDefault="007950A4" w:rsidP="003D1876">
      <w:pPr>
        <w:widowControl w:val="0"/>
        <w:autoSpaceDE w:val="0"/>
        <w:autoSpaceDN w:val="0"/>
        <w:adjustRightInd w:val="0"/>
        <w:jc w:val="center"/>
      </w:pPr>
      <w:r>
        <w:rPr>
          <w:u w:val="single"/>
        </w:rPr>
        <w:t>PROCEDURE</w:t>
      </w:r>
    </w:p>
    <w:p w:rsidR="007950A4" w:rsidRDefault="007950A4" w:rsidP="003D1876">
      <w:pPr>
        <w:widowControl w:val="0"/>
        <w:autoSpaceDE w:val="0"/>
        <w:autoSpaceDN w:val="0"/>
        <w:adjustRightInd w:val="0"/>
        <w:ind w:left="1080" w:hanging="480"/>
        <w:jc w:val="center"/>
      </w:pPr>
    </w:p>
    <w:p w:rsidR="007950A4" w:rsidRDefault="007950A4" w:rsidP="003D1876">
      <w:pPr>
        <w:widowControl w:val="0"/>
        <w:autoSpaceDE w:val="0"/>
        <w:autoSpaceDN w:val="0"/>
        <w:adjustRightInd w:val="0"/>
      </w:pPr>
      <w:r>
        <w:t xml:space="preserve">The </w:t>
      </w:r>
      <w:proofErr w:type="spellStart"/>
      <w:r>
        <w:t>Theis</w:t>
      </w:r>
      <w:proofErr w:type="spellEnd"/>
      <w:r>
        <w:t xml:space="preserve"> type curve is used.  The type curve is used to evaluate field data for time and drawdown, which are plotted on logarithmic paper of the same scale.  The following procedure can be used: </w:t>
      </w:r>
    </w:p>
    <w:p w:rsidR="007950A4" w:rsidRDefault="007950A4" w:rsidP="003D1876">
      <w:pPr>
        <w:widowControl w:val="0"/>
        <w:autoSpaceDE w:val="0"/>
        <w:autoSpaceDN w:val="0"/>
        <w:adjustRightInd w:val="0"/>
      </w:pPr>
    </w:p>
    <w:p w:rsidR="007950A4" w:rsidRDefault="007950A4" w:rsidP="003D1876">
      <w:pPr>
        <w:widowControl w:val="0"/>
        <w:autoSpaceDE w:val="0"/>
        <w:autoSpaceDN w:val="0"/>
        <w:adjustRightInd w:val="0"/>
        <w:ind w:left="1080" w:hanging="480"/>
      </w:pPr>
      <w:r>
        <w:t>1.</w:t>
      </w:r>
      <w:r>
        <w:tab/>
        <w:t>Overlay time drawdown data on type curve.  At any match poin</w:t>
      </w:r>
      <w:r w:rsidR="00166065">
        <w:t>t, the values of W(u), u, and h</w:t>
      </w:r>
      <w:r w:rsidR="00166065" w:rsidRPr="007950A4">
        <w:rPr>
          <w:rFonts w:ascii="Times" w:hAnsi="Times" w:cs="Times"/>
          <w:sz w:val="20"/>
          <w:szCs w:val="20"/>
          <w:vertAlign w:val="subscript"/>
        </w:rPr>
        <w:t>o</w:t>
      </w:r>
      <w:r>
        <w:t xml:space="preserve">-h are determined (see Table B). </w:t>
      </w:r>
    </w:p>
    <w:p w:rsidR="007950A4" w:rsidRDefault="007950A4" w:rsidP="003D1876">
      <w:pPr>
        <w:widowControl w:val="0"/>
        <w:autoSpaceDE w:val="0"/>
        <w:autoSpaceDN w:val="0"/>
        <w:adjustRightInd w:val="0"/>
        <w:ind w:left="1080" w:hanging="480"/>
      </w:pPr>
    </w:p>
    <w:p w:rsidR="007950A4" w:rsidRDefault="007950A4" w:rsidP="003D1876">
      <w:pPr>
        <w:widowControl w:val="0"/>
        <w:autoSpaceDE w:val="0"/>
        <w:autoSpaceDN w:val="0"/>
        <w:adjustRightInd w:val="0"/>
        <w:ind w:left="1080" w:hanging="480"/>
      </w:pPr>
      <w:r>
        <w:t>2.</w:t>
      </w:r>
      <w:r>
        <w:tab/>
        <w:t xml:space="preserve">Transmissivity can be calculated using the values from the match point and the following equation: </w:t>
      </w:r>
    </w:p>
    <w:p w:rsidR="007950A4" w:rsidRDefault="007950A4" w:rsidP="003D1876">
      <w:pPr>
        <w:widowControl w:val="0"/>
        <w:autoSpaceDE w:val="0"/>
        <w:autoSpaceDN w:val="0"/>
        <w:adjustRightInd w:val="0"/>
        <w:ind w:left="1080" w:hanging="480"/>
      </w:pPr>
    </w:p>
    <w:tbl>
      <w:tblPr>
        <w:tblStyle w:val="TableGrid"/>
        <w:tblW w:w="0" w:type="auto"/>
        <w:tblInd w:w="2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12"/>
        <w:gridCol w:w="1863"/>
      </w:tblGrid>
      <w:tr w:rsidR="00166065">
        <w:tc>
          <w:tcPr>
            <w:tcW w:w="612" w:type="dxa"/>
            <w:vMerge w:val="restart"/>
            <w:vAlign w:val="center"/>
          </w:tcPr>
          <w:p w:rsidR="00166065" w:rsidRDefault="00166065" w:rsidP="003D1876">
            <w:pPr>
              <w:jc w:val="right"/>
            </w:pPr>
            <w:r>
              <w:t>T =</w:t>
            </w:r>
          </w:p>
        </w:tc>
        <w:tc>
          <w:tcPr>
            <w:tcW w:w="1863" w:type="dxa"/>
            <w:tcBorders>
              <w:bottom w:val="single" w:sz="4" w:space="0" w:color="auto"/>
            </w:tcBorders>
            <w:vAlign w:val="bottom"/>
          </w:tcPr>
          <w:p w:rsidR="00166065" w:rsidRDefault="00166065" w:rsidP="003D1876">
            <w:pPr>
              <w:jc w:val="center"/>
            </w:pPr>
            <w:r>
              <w:t>114.6Q  W(u)</w:t>
            </w:r>
          </w:p>
        </w:tc>
      </w:tr>
      <w:tr w:rsidR="00166065">
        <w:tc>
          <w:tcPr>
            <w:tcW w:w="612" w:type="dxa"/>
            <w:vMerge/>
            <w:vAlign w:val="bottom"/>
          </w:tcPr>
          <w:p w:rsidR="00166065" w:rsidRDefault="00166065" w:rsidP="003D1876"/>
        </w:tc>
        <w:tc>
          <w:tcPr>
            <w:tcW w:w="1863" w:type="dxa"/>
            <w:tcBorders>
              <w:top w:val="single" w:sz="4" w:space="0" w:color="auto"/>
            </w:tcBorders>
            <w:vAlign w:val="bottom"/>
          </w:tcPr>
          <w:p w:rsidR="00166065" w:rsidRPr="00E45240" w:rsidRDefault="00166065" w:rsidP="003D1876">
            <w:pPr>
              <w:ind w:left="123" w:hanging="123"/>
              <w:jc w:val="center"/>
            </w:pPr>
            <w:r>
              <w:t>h</w:t>
            </w:r>
            <w:r w:rsidRPr="007950A4">
              <w:rPr>
                <w:rFonts w:ascii="Times" w:hAnsi="Times" w:cs="Times"/>
                <w:sz w:val="20"/>
                <w:szCs w:val="20"/>
                <w:vertAlign w:val="subscript"/>
              </w:rPr>
              <w:t>o</w:t>
            </w:r>
            <w:r w:rsidR="007950A4">
              <w:rPr>
                <w:rFonts w:ascii="Times" w:hAnsi="Times" w:cs="Times"/>
              </w:rPr>
              <w:t>-</w:t>
            </w:r>
            <w:r>
              <w:rPr>
                <w:rFonts w:ascii="Times" w:hAnsi="Times" w:cs="Times"/>
              </w:rPr>
              <w:t>h</w:t>
            </w:r>
          </w:p>
        </w:tc>
      </w:tr>
    </w:tbl>
    <w:p w:rsidR="007950A4" w:rsidRDefault="007950A4" w:rsidP="003D1876">
      <w:pPr>
        <w:widowControl w:val="0"/>
        <w:autoSpaceDE w:val="0"/>
        <w:autoSpaceDN w:val="0"/>
        <w:adjustRightInd w:val="0"/>
        <w:ind w:left="1080" w:hanging="480"/>
      </w:pPr>
    </w:p>
    <w:p w:rsidR="007950A4" w:rsidRDefault="007950A4" w:rsidP="003D1876">
      <w:pPr>
        <w:widowControl w:val="0"/>
        <w:autoSpaceDE w:val="0"/>
        <w:autoSpaceDN w:val="0"/>
        <w:adjustRightInd w:val="0"/>
        <w:ind w:left="1080" w:hanging="480"/>
      </w:pPr>
      <w:r>
        <w:t xml:space="preserve">3.  From the value established above, k can be determined as follows: </w:t>
      </w:r>
    </w:p>
    <w:p w:rsidR="007950A4" w:rsidRDefault="007950A4" w:rsidP="003D1876">
      <w:pPr>
        <w:widowControl w:val="0"/>
        <w:autoSpaceDE w:val="0"/>
        <w:autoSpaceDN w:val="0"/>
        <w:adjustRightInd w:val="0"/>
        <w:ind w:left="4860" w:hanging="2853"/>
      </w:pPr>
    </w:p>
    <w:tbl>
      <w:tblPr>
        <w:tblStyle w:val="TableGrid"/>
        <w:tblW w:w="0" w:type="auto"/>
        <w:tblInd w:w="2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8"/>
        <w:gridCol w:w="657"/>
      </w:tblGrid>
      <w:tr w:rsidR="00166065">
        <w:tc>
          <w:tcPr>
            <w:tcW w:w="648" w:type="dxa"/>
            <w:vMerge w:val="restart"/>
            <w:vAlign w:val="center"/>
          </w:tcPr>
          <w:p w:rsidR="00166065" w:rsidRDefault="00166065" w:rsidP="003D1876">
            <w:pPr>
              <w:jc w:val="right"/>
            </w:pPr>
            <w:r>
              <w:t>k =</w:t>
            </w:r>
          </w:p>
        </w:tc>
        <w:tc>
          <w:tcPr>
            <w:tcW w:w="657" w:type="dxa"/>
            <w:tcBorders>
              <w:bottom w:val="single" w:sz="4" w:space="0" w:color="auto"/>
            </w:tcBorders>
            <w:vAlign w:val="bottom"/>
          </w:tcPr>
          <w:p w:rsidR="00166065" w:rsidRDefault="00166065" w:rsidP="003D1876">
            <w:pPr>
              <w:jc w:val="center"/>
            </w:pPr>
            <w:r>
              <w:t>T</w:t>
            </w:r>
          </w:p>
        </w:tc>
      </w:tr>
      <w:tr w:rsidR="00166065" w:rsidRPr="00E45240">
        <w:tc>
          <w:tcPr>
            <w:tcW w:w="648" w:type="dxa"/>
            <w:vMerge/>
            <w:vAlign w:val="center"/>
          </w:tcPr>
          <w:p w:rsidR="00166065" w:rsidRDefault="00166065" w:rsidP="003D1876"/>
        </w:tc>
        <w:tc>
          <w:tcPr>
            <w:tcW w:w="657" w:type="dxa"/>
            <w:tcBorders>
              <w:top w:val="single" w:sz="4" w:space="0" w:color="auto"/>
            </w:tcBorders>
            <w:vAlign w:val="bottom"/>
          </w:tcPr>
          <w:p w:rsidR="00166065" w:rsidRPr="00E45240" w:rsidRDefault="00166065" w:rsidP="003D1876">
            <w:pPr>
              <w:ind w:left="123" w:hanging="123"/>
              <w:jc w:val="center"/>
            </w:pPr>
            <w:r>
              <w:t>b</w:t>
            </w:r>
          </w:p>
        </w:tc>
      </w:tr>
    </w:tbl>
    <w:p w:rsidR="00166065" w:rsidRDefault="00166065" w:rsidP="003D1876"/>
    <w:p w:rsidR="007950A4" w:rsidRDefault="007950A4" w:rsidP="003D1876">
      <w:pPr>
        <w:widowControl w:val="0"/>
        <w:autoSpaceDE w:val="0"/>
        <w:autoSpaceDN w:val="0"/>
        <w:adjustRightInd w:val="0"/>
        <w:ind w:left="1080" w:hanging="480"/>
      </w:pPr>
      <w:r>
        <w:t xml:space="preserve">4.  From the values established above, S can be calculated as follows: </w:t>
      </w:r>
    </w:p>
    <w:p w:rsidR="007950A4" w:rsidRDefault="007950A4" w:rsidP="003D1876">
      <w:pPr>
        <w:widowControl w:val="0"/>
        <w:autoSpaceDE w:val="0"/>
        <w:autoSpaceDN w:val="0"/>
        <w:adjustRightInd w:val="0"/>
        <w:ind w:left="1080" w:hanging="480"/>
      </w:pPr>
    </w:p>
    <w:tbl>
      <w:tblPr>
        <w:tblStyle w:val="TableGrid"/>
        <w:tblW w:w="0" w:type="auto"/>
        <w:tblInd w:w="2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30"/>
        <w:gridCol w:w="1098"/>
      </w:tblGrid>
      <w:tr w:rsidR="009D4260">
        <w:tc>
          <w:tcPr>
            <w:tcW w:w="630" w:type="dxa"/>
            <w:vMerge w:val="restart"/>
            <w:vAlign w:val="center"/>
          </w:tcPr>
          <w:p w:rsidR="009D4260" w:rsidRDefault="009D4260" w:rsidP="003D1876">
            <w:pPr>
              <w:jc w:val="right"/>
            </w:pPr>
            <w:r>
              <w:t>S =</w:t>
            </w:r>
          </w:p>
        </w:tc>
        <w:tc>
          <w:tcPr>
            <w:tcW w:w="1098" w:type="dxa"/>
            <w:tcBorders>
              <w:bottom w:val="single" w:sz="4" w:space="0" w:color="auto"/>
            </w:tcBorders>
            <w:vAlign w:val="bottom"/>
          </w:tcPr>
          <w:p w:rsidR="009D4260" w:rsidRDefault="009D4260" w:rsidP="003D1876">
            <w:pPr>
              <w:jc w:val="center"/>
            </w:pPr>
            <w:proofErr w:type="spellStart"/>
            <w:r>
              <w:t>uTt</w:t>
            </w:r>
            <w:proofErr w:type="spellEnd"/>
          </w:p>
        </w:tc>
      </w:tr>
      <w:tr w:rsidR="009D4260" w:rsidRPr="00E45240">
        <w:tc>
          <w:tcPr>
            <w:tcW w:w="630" w:type="dxa"/>
            <w:vMerge/>
            <w:vAlign w:val="bottom"/>
          </w:tcPr>
          <w:p w:rsidR="009D4260" w:rsidRDefault="009D4260" w:rsidP="003D1876"/>
        </w:tc>
        <w:tc>
          <w:tcPr>
            <w:tcW w:w="1098" w:type="dxa"/>
            <w:tcBorders>
              <w:top w:val="single" w:sz="4" w:space="0" w:color="auto"/>
            </w:tcBorders>
            <w:vAlign w:val="bottom"/>
          </w:tcPr>
          <w:p w:rsidR="009D4260" w:rsidRDefault="009D4260" w:rsidP="003D1876">
            <w:pPr>
              <w:jc w:val="center"/>
            </w:pPr>
            <w:r>
              <w:t>2693r</w:t>
            </w:r>
            <w:r w:rsidRPr="00E45240">
              <w:rPr>
                <w:rFonts w:ascii="Times" w:hAnsi="Times" w:cs="Times"/>
                <w:vertAlign w:val="superscript"/>
              </w:rPr>
              <w:t>2</w:t>
            </w:r>
          </w:p>
        </w:tc>
      </w:tr>
    </w:tbl>
    <w:p w:rsidR="007950A4" w:rsidRDefault="007950A4" w:rsidP="003D1876">
      <w:pPr>
        <w:widowControl w:val="0"/>
        <w:autoSpaceDE w:val="0"/>
        <w:autoSpaceDN w:val="0"/>
        <w:adjustRightInd w:val="0"/>
        <w:ind w:left="1080" w:hanging="480"/>
      </w:pPr>
    </w:p>
    <w:sectPr w:rsidR="007950A4" w:rsidSect="003D1876">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6065"/>
    <w:rsid w:val="00166065"/>
    <w:rsid w:val="003D1876"/>
    <w:rsid w:val="007806B5"/>
    <w:rsid w:val="007950A4"/>
    <w:rsid w:val="007F207C"/>
    <w:rsid w:val="0098157E"/>
    <w:rsid w:val="009D4260"/>
    <w:rsid w:val="00A032F2"/>
    <w:rsid w:val="00D612C5"/>
    <w:rsid w:val="00E45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66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D42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66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D42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671</vt:lpstr>
    </vt:vector>
  </TitlesOfParts>
  <Company>State of Illinois</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671</dc:title>
  <dc:subject/>
  <dc:creator>ThomasVD</dc:creator>
  <cp:keywords/>
  <dc:description/>
  <cp:lastModifiedBy>Roberts, John</cp:lastModifiedBy>
  <cp:revision>3</cp:revision>
  <cp:lastPrinted>2002-08-19T17:03:00Z</cp:lastPrinted>
  <dcterms:created xsi:type="dcterms:W3CDTF">2012-06-21T21:22:00Z</dcterms:created>
  <dcterms:modified xsi:type="dcterms:W3CDTF">2012-06-21T21:22:00Z</dcterms:modified>
</cp:coreProperties>
</file>