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72" w:rsidRDefault="007C7872" w:rsidP="007C7872">
      <w:pPr>
        <w:widowControl w:val="0"/>
        <w:autoSpaceDE w:val="0"/>
        <w:autoSpaceDN w:val="0"/>
        <w:adjustRightInd w:val="0"/>
      </w:pPr>
      <w:bookmarkStart w:id="0" w:name="_GoBack"/>
      <w:bookmarkEnd w:id="0"/>
    </w:p>
    <w:p w:rsidR="007C7872" w:rsidRDefault="007C7872" w:rsidP="007C7872">
      <w:pPr>
        <w:widowControl w:val="0"/>
        <w:autoSpaceDE w:val="0"/>
        <w:autoSpaceDN w:val="0"/>
        <w:adjustRightInd w:val="0"/>
      </w:pPr>
      <w:r>
        <w:rPr>
          <w:b/>
          <w:bCs/>
        </w:rPr>
        <w:t>Section 671.301  General</w:t>
      </w:r>
      <w:r>
        <w:t xml:space="preserve"> </w:t>
      </w:r>
    </w:p>
    <w:p w:rsidR="007C7872" w:rsidRDefault="007C7872" w:rsidP="007C7872">
      <w:pPr>
        <w:widowControl w:val="0"/>
        <w:autoSpaceDE w:val="0"/>
        <w:autoSpaceDN w:val="0"/>
        <w:adjustRightInd w:val="0"/>
      </w:pPr>
    </w:p>
    <w:p w:rsidR="007C7872" w:rsidRDefault="007C7872" w:rsidP="007C7872">
      <w:pPr>
        <w:widowControl w:val="0"/>
        <w:autoSpaceDE w:val="0"/>
        <w:autoSpaceDN w:val="0"/>
        <w:adjustRightInd w:val="0"/>
      </w:pPr>
      <w:r>
        <w:rPr>
          <w:i/>
          <w:iCs/>
        </w:rPr>
        <w:t>Where the results of any determination made pursuant to</w:t>
      </w:r>
      <w:r>
        <w:t xml:space="preserve"> Section 671.201 </w:t>
      </w:r>
      <w:r>
        <w:rPr>
          <w:i/>
          <w:iCs/>
        </w:rPr>
        <w:t>disclose that the distance from the well to the outermost boundary of the lateral area of influence of the well under normal operational conditions exceeds the radius of the minimum setback zone established for that well pursuant to Section</w:t>
      </w:r>
      <w:r>
        <w:t xml:space="preserve"> 14.2 of the Act, </w:t>
      </w:r>
      <w:r>
        <w:rPr>
          <w:i/>
          <w:iCs/>
        </w:rPr>
        <w:t>any county or municipality served by such water supply may in writing request the agency to review and confirm the technical adequacy of such determination.</w:t>
      </w:r>
      <w:r>
        <w:t xml:space="preserve">  (Section 14.3(b) of the Act). </w:t>
      </w:r>
    </w:p>
    <w:sectPr w:rsidR="007C7872" w:rsidSect="007C78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872"/>
    <w:rsid w:val="005C3366"/>
    <w:rsid w:val="007C7872"/>
    <w:rsid w:val="00B93C46"/>
    <w:rsid w:val="00BA73FA"/>
    <w:rsid w:val="00DA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671</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671</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