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DEB7" w14:textId="77777777" w:rsidR="00A06D74" w:rsidRDefault="00A06D74" w:rsidP="00A06D74">
      <w:pPr>
        <w:widowControl w:val="0"/>
        <w:autoSpaceDE w:val="0"/>
        <w:autoSpaceDN w:val="0"/>
        <w:adjustRightInd w:val="0"/>
      </w:pPr>
    </w:p>
    <w:p w14:paraId="595BB6F8" w14:textId="77777777" w:rsidR="00A06D74" w:rsidRDefault="00A06D74" w:rsidP="00A06D74">
      <w:pPr>
        <w:widowControl w:val="0"/>
        <w:autoSpaceDE w:val="0"/>
        <w:autoSpaceDN w:val="0"/>
        <w:adjustRightInd w:val="0"/>
      </w:pPr>
      <w:r>
        <w:rPr>
          <w:b/>
          <w:bCs/>
        </w:rPr>
        <w:t>Section 615.404  Required Closure of Units Located Within Regulated Recharge Areas</w:t>
      </w:r>
      <w:r>
        <w:t xml:space="preserve"> </w:t>
      </w:r>
    </w:p>
    <w:p w14:paraId="2E87338B" w14:textId="77777777" w:rsidR="00A06D74" w:rsidRDefault="00A06D74" w:rsidP="00A06D74">
      <w:pPr>
        <w:widowControl w:val="0"/>
        <w:autoSpaceDE w:val="0"/>
        <w:autoSpaceDN w:val="0"/>
        <w:adjustRightInd w:val="0"/>
      </w:pPr>
    </w:p>
    <w:p w14:paraId="13D1211C" w14:textId="6E1FB146" w:rsidR="00A06D74" w:rsidRDefault="00E65A89" w:rsidP="00A06D74">
      <w:pPr>
        <w:widowControl w:val="0"/>
        <w:autoSpaceDE w:val="0"/>
        <w:autoSpaceDN w:val="0"/>
        <w:adjustRightInd w:val="0"/>
      </w:pPr>
      <w:r>
        <w:t>A</w:t>
      </w:r>
      <w:r w:rsidR="00A06D74">
        <w:t xml:space="preserve"> person </w:t>
      </w:r>
      <w:r>
        <w:t>must not</w:t>
      </w:r>
      <w:r w:rsidR="00A06D74">
        <w:t xml:space="preserve"> cause or allow the operation within a regulated recharge area of any landfill unit that contains special waste and for which the distance from the wellhead of the community water supply well to any part of the landfill unit is 2500 feet or less.  This provision becomes effective four years after the date on which the Board establishes the regulated recharge area. Closure </w:t>
      </w:r>
      <w:r>
        <w:t>must</w:t>
      </w:r>
      <w:r w:rsidR="00A06D74">
        <w:t xml:space="preserve"> be completed within five years after the date on which the Board establishes the regulated recharge area. </w:t>
      </w:r>
    </w:p>
    <w:p w14:paraId="58EFD8D5" w14:textId="77777777" w:rsidR="00E65A89" w:rsidRDefault="00E65A89" w:rsidP="00A06D74">
      <w:pPr>
        <w:widowControl w:val="0"/>
        <w:autoSpaceDE w:val="0"/>
        <w:autoSpaceDN w:val="0"/>
        <w:adjustRightInd w:val="0"/>
      </w:pPr>
    </w:p>
    <w:p w14:paraId="045E3CEC" w14:textId="4E8B79A0" w:rsidR="00E65A89" w:rsidRDefault="00E65A89" w:rsidP="00E65A89">
      <w:pPr>
        <w:widowControl w:val="0"/>
        <w:autoSpaceDE w:val="0"/>
        <w:autoSpaceDN w:val="0"/>
        <w:adjustRightInd w:val="0"/>
        <w:ind w:firstLine="720"/>
      </w:pPr>
      <w:r>
        <w:t>(Source:  Amended at 4</w:t>
      </w:r>
      <w:r w:rsidR="0043796E">
        <w:t>7</w:t>
      </w:r>
      <w:r>
        <w:t xml:space="preserve"> Ill. Reg. </w:t>
      </w:r>
      <w:r w:rsidR="001E3133">
        <w:t>7581</w:t>
      </w:r>
      <w:r>
        <w:t xml:space="preserve">, effective </w:t>
      </w:r>
      <w:r w:rsidR="001E3133">
        <w:t>May 16, 2023</w:t>
      </w:r>
      <w:r>
        <w:t>)</w:t>
      </w:r>
    </w:p>
    <w:sectPr w:rsidR="00E65A89" w:rsidSect="00A06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6D74"/>
    <w:rsid w:val="001E3133"/>
    <w:rsid w:val="00210484"/>
    <w:rsid w:val="0043796E"/>
    <w:rsid w:val="005C3366"/>
    <w:rsid w:val="00664A23"/>
    <w:rsid w:val="00682363"/>
    <w:rsid w:val="00A06D74"/>
    <w:rsid w:val="00A43D91"/>
    <w:rsid w:val="00E6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B34E47"/>
  <w15:docId w15:val="{5EB85C29-2306-4B81-A2A2-B244DB7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3</cp:revision>
  <dcterms:created xsi:type="dcterms:W3CDTF">2023-05-24T14:38:00Z</dcterms:created>
  <dcterms:modified xsi:type="dcterms:W3CDTF">2023-06-02T12:47:00Z</dcterms:modified>
</cp:coreProperties>
</file>