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E8BE" w14:textId="77777777" w:rsidR="0080281B" w:rsidRDefault="0080281B" w:rsidP="0080281B">
      <w:pPr>
        <w:widowControl w:val="0"/>
        <w:autoSpaceDE w:val="0"/>
        <w:autoSpaceDN w:val="0"/>
        <w:adjustRightInd w:val="0"/>
      </w:pPr>
    </w:p>
    <w:p w14:paraId="4E9163B7" w14:textId="77777777" w:rsidR="0080281B" w:rsidRDefault="0080281B" w:rsidP="0080281B">
      <w:pPr>
        <w:widowControl w:val="0"/>
        <w:autoSpaceDE w:val="0"/>
        <w:autoSpaceDN w:val="0"/>
        <w:adjustRightInd w:val="0"/>
      </w:pPr>
      <w:r>
        <w:rPr>
          <w:b/>
          <w:bCs/>
        </w:rPr>
        <w:t>Section 601.101  General Requirements</w:t>
      </w:r>
      <w:r>
        <w:t xml:space="preserve"> </w:t>
      </w:r>
    </w:p>
    <w:p w14:paraId="3AAB4125" w14:textId="77777777" w:rsidR="0080281B" w:rsidRDefault="0080281B" w:rsidP="0080281B">
      <w:pPr>
        <w:widowControl w:val="0"/>
        <w:autoSpaceDE w:val="0"/>
        <w:autoSpaceDN w:val="0"/>
        <w:adjustRightInd w:val="0"/>
      </w:pPr>
    </w:p>
    <w:p w14:paraId="56EEE954" w14:textId="11524745" w:rsidR="0080281B" w:rsidRDefault="00AB1115" w:rsidP="00AB1115">
      <w:pPr>
        <w:widowControl w:val="0"/>
        <w:autoSpaceDE w:val="0"/>
        <w:autoSpaceDN w:val="0"/>
        <w:adjustRightInd w:val="0"/>
        <w:ind w:left="1440" w:hanging="720"/>
      </w:pPr>
      <w:r>
        <w:t>a)</w:t>
      </w:r>
      <w:r>
        <w:tab/>
      </w:r>
      <w:r w:rsidR="0080281B">
        <w:t xml:space="preserve">Owners and official custodians of a public water supply in the State of Illinois </w:t>
      </w:r>
      <w:r>
        <w:t>must</w:t>
      </w:r>
      <w:r w:rsidR="0080281B">
        <w:t xml:space="preserve"> provide</w:t>
      </w:r>
      <w:r w:rsidR="00EF53AC">
        <w:t>,</w:t>
      </w:r>
      <w:r w:rsidR="004140AD">
        <w:t xml:space="preserve"> </w:t>
      </w:r>
      <w:r w:rsidR="007E4B1D">
        <w:t>under</w:t>
      </w:r>
      <w:r w:rsidR="001151B3">
        <w:t xml:space="preserve"> the Act, Board</w:t>
      </w:r>
      <w:r w:rsidR="0080281B">
        <w:t xml:space="preserve"> Rules, and the Safe Drinking Water Act (42 </w:t>
      </w:r>
      <w:r w:rsidR="001151B3">
        <w:t>U.S.C.</w:t>
      </w:r>
      <w:r w:rsidR="0080281B">
        <w:t xml:space="preserve"> 300f et seq.)</w:t>
      </w:r>
      <w:r w:rsidR="00E30EFA">
        <w:t>,</w:t>
      </w:r>
      <w:r w:rsidR="0080281B">
        <w:t xml:space="preserve"> continuous operation and maintenance of public water supply facilities </w:t>
      </w:r>
      <w:r>
        <w:t>to assure</w:t>
      </w:r>
      <w:r w:rsidR="0080281B">
        <w:t xml:space="preserve"> that the water </w:t>
      </w:r>
      <w:r>
        <w:t>is</w:t>
      </w:r>
      <w:r w:rsidR="0080281B">
        <w:t xml:space="preserve"> safe in quality, clean, adequate in quantity, and of satisfactory mineral characteristics for ordinary domestic consumption. </w:t>
      </w:r>
    </w:p>
    <w:p w14:paraId="267A20E5" w14:textId="77777777" w:rsidR="0080281B" w:rsidRDefault="0080281B" w:rsidP="0080281B">
      <w:pPr>
        <w:widowControl w:val="0"/>
        <w:autoSpaceDE w:val="0"/>
        <w:autoSpaceDN w:val="0"/>
        <w:adjustRightInd w:val="0"/>
      </w:pPr>
    </w:p>
    <w:p w14:paraId="364CC1D1" w14:textId="77777777" w:rsidR="00AB1115" w:rsidRDefault="00AB1115" w:rsidP="00AB1115">
      <w:pPr>
        <w:widowControl w:val="0"/>
        <w:autoSpaceDE w:val="0"/>
        <w:autoSpaceDN w:val="0"/>
        <w:adjustRightInd w:val="0"/>
        <w:ind w:firstLine="720"/>
      </w:pPr>
      <w:r>
        <w:t>b)</w:t>
      </w:r>
      <w:r>
        <w:tab/>
        <w:t>Finished Water Quality</w:t>
      </w:r>
    </w:p>
    <w:p w14:paraId="39B4337C" w14:textId="77777777" w:rsidR="00AB1115" w:rsidRDefault="00AB1115" w:rsidP="0080281B">
      <w:pPr>
        <w:widowControl w:val="0"/>
        <w:autoSpaceDE w:val="0"/>
        <w:autoSpaceDN w:val="0"/>
        <w:adjustRightInd w:val="0"/>
      </w:pPr>
    </w:p>
    <w:p w14:paraId="5127FD9A" w14:textId="77777777" w:rsidR="00AB1115" w:rsidRPr="00AB1115" w:rsidRDefault="00AB1115" w:rsidP="00F1415C">
      <w:pPr>
        <w:widowControl w:val="0"/>
        <w:suppressAutoHyphens/>
        <w:overflowPunct w:val="0"/>
        <w:autoSpaceDE w:val="0"/>
        <w:autoSpaceDN w:val="0"/>
        <w:adjustRightInd w:val="0"/>
        <w:ind w:left="2160" w:hanging="720"/>
        <w:textAlignment w:val="baseline"/>
      </w:pPr>
      <w:r>
        <w:t>1)</w:t>
      </w:r>
      <w:r>
        <w:tab/>
      </w:r>
      <w:r w:rsidRPr="00AB1115">
        <w:t>The finished water delivered to any user at any point in the distribution system must contain no impurity at a concentration that may be hazardous to the health of the consumer or that would be excessively corrosive or otherwise deleterious to the water supply.  Drinking water delivered to any user at any point in the distribution system must contain no impurity that could reasonably be expected to cause offense to the sense of sight, taste, or smell.</w:t>
      </w:r>
    </w:p>
    <w:p w14:paraId="0638E9D2" w14:textId="77777777" w:rsidR="00AB1115" w:rsidRPr="00AB1115" w:rsidRDefault="00AB1115" w:rsidP="00F1415C">
      <w:pPr>
        <w:widowControl w:val="0"/>
        <w:suppressAutoHyphens/>
        <w:overflowPunct w:val="0"/>
        <w:autoSpaceDE w:val="0"/>
        <w:autoSpaceDN w:val="0"/>
        <w:adjustRightInd w:val="0"/>
        <w:textAlignment w:val="baseline"/>
      </w:pPr>
    </w:p>
    <w:p w14:paraId="506ECDD8" w14:textId="2E20D142" w:rsidR="00AB1115" w:rsidRPr="00AB1115" w:rsidRDefault="00AB1115" w:rsidP="00F1415C">
      <w:pPr>
        <w:widowControl w:val="0"/>
        <w:suppressAutoHyphens/>
        <w:overflowPunct w:val="0"/>
        <w:autoSpaceDE w:val="0"/>
        <w:autoSpaceDN w:val="0"/>
        <w:adjustRightInd w:val="0"/>
        <w:ind w:left="2160" w:hanging="720"/>
        <w:textAlignment w:val="baseline"/>
      </w:pPr>
      <w:r w:rsidRPr="00AB1115">
        <w:t>2)</w:t>
      </w:r>
      <w:bookmarkStart w:id="0" w:name="_Hlk503786654"/>
      <w:r>
        <w:tab/>
      </w:r>
      <w:r w:rsidR="00BA6AC9">
        <w:t>Any</w:t>
      </w:r>
      <w:r w:rsidRPr="00AB1115">
        <w:t xml:space="preserve"> substance used in treatment </w:t>
      </w:r>
      <w:r w:rsidR="00BA6AC9">
        <w:t>must not</w:t>
      </w:r>
      <w:r w:rsidRPr="00AB1115">
        <w:t xml:space="preserve"> remain in the water at a concentration greater than that required by good practice.  A substance that may have a deleterious physiological effect, or one for which physiological effects are not known, must not be used in a manner that would permit it to reach the consumer.</w:t>
      </w:r>
      <w:bookmarkEnd w:id="0"/>
    </w:p>
    <w:p w14:paraId="45DBA5EB" w14:textId="77777777" w:rsidR="00AB1115" w:rsidRPr="00AB1115" w:rsidRDefault="00AB1115" w:rsidP="00F1415C">
      <w:pPr>
        <w:widowControl w:val="0"/>
        <w:suppressAutoHyphens/>
        <w:overflowPunct w:val="0"/>
        <w:autoSpaceDE w:val="0"/>
        <w:autoSpaceDN w:val="0"/>
        <w:adjustRightInd w:val="0"/>
        <w:textAlignment w:val="baseline"/>
      </w:pPr>
    </w:p>
    <w:p w14:paraId="16790908" w14:textId="10E6A311" w:rsidR="00AB1115" w:rsidRPr="00AB1115" w:rsidRDefault="00AB1115" w:rsidP="00AB1115">
      <w:pPr>
        <w:suppressAutoHyphens/>
        <w:overflowPunct w:val="0"/>
        <w:autoSpaceDE w:val="0"/>
        <w:autoSpaceDN w:val="0"/>
        <w:adjustRightInd w:val="0"/>
        <w:ind w:left="2160" w:hanging="720"/>
        <w:textAlignment w:val="baseline"/>
      </w:pPr>
      <w:r w:rsidRPr="00AB1115">
        <w:t>3)</w:t>
      </w:r>
      <w:r>
        <w:tab/>
      </w:r>
      <w:r w:rsidRPr="00AB1115">
        <w:t xml:space="preserve">Concentrations of constituents listed </w:t>
      </w:r>
      <w:r w:rsidR="0046466B">
        <w:t xml:space="preserve">in the following chart </w:t>
      </w:r>
      <w:r w:rsidRPr="00AB1115">
        <w:t>should not be exceeded in the finished water</w:t>
      </w:r>
      <w:r w:rsidR="00AC62F3">
        <w:t>.</w:t>
      </w:r>
    </w:p>
    <w:p w14:paraId="3C5C3785" w14:textId="77777777" w:rsidR="00AB1115" w:rsidRDefault="00AB1115" w:rsidP="0080281B">
      <w:pPr>
        <w:widowControl w:val="0"/>
        <w:autoSpaceDE w:val="0"/>
        <w:autoSpaceDN w:val="0"/>
        <w:adjustRightInd w:val="0"/>
      </w:pPr>
    </w:p>
    <w:tbl>
      <w:tblPr>
        <w:tblStyle w:val="TableGrid"/>
        <w:tblW w:w="0" w:type="auto"/>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977"/>
        <w:gridCol w:w="3408"/>
      </w:tblGrid>
      <w:tr w:rsidR="00AB1115" w:rsidRPr="008F3CF3" w14:paraId="7C10717B" w14:textId="77777777" w:rsidTr="008F2FBA">
        <w:tc>
          <w:tcPr>
            <w:tcW w:w="1797" w:type="dxa"/>
          </w:tcPr>
          <w:p w14:paraId="38CACB53" w14:textId="77777777" w:rsidR="00AB1115" w:rsidRPr="008F3CF3" w:rsidRDefault="00AB1115" w:rsidP="00AB1115">
            <w:pPr>
              <w:overflowPunct w:val="0"/>
              <w:autoSpaceDE w:val="0"/>
              <w:autoSpaceDN w:val="0"/>
              <w:adjustRightInd w:val="0"/>
              <w:textAlignment w:val="baseline"/>
              <w:rPr>
                <w:u w:val="single"/>
              </w:rPr>
            </w:pPr>
            <w:r w:rsidRPr="008F3CF3">
              <w:rPr>
                <w:b/>
                <w:u w:val="single"/>
              </w:rPr>
              <w:t>Contaminant</w:t>
            </w:r>
          </w:p>
        </w:tc>
        <w:tc>
          <w:tcPr>
            <w:tcW w:w="1977" w:type="dxa"/>
          </w:tcPr>
          <w:p w14:paraId="56E6F91B" w14:textId="77777777" w:rsidR="00AB1115" w:rsidRPr="008F3CF3" w:rsidRDefault="00AB1115" w:rsidP="00AB1115">
            <w:pPr>
              <w:overflowPunct w:val="0"/>
              <w:autoSpaceDE w:val="0"/>
              <w:autoSpaceDN w:val="0"/>
              <w:adjustRightInd w:val="0"/>
              <w:textAlignment w:val="baseline"/>
              <w:rPr>
                <w:strike/>
                <w:u w:val="single"/>
              </w:rPr>
            </w:pPr>
            <w:r w:rsidRPr="008F3CF3">
              <w:rPr>
                <w:b/>
                <w:u w:val="single"/>
              </w:rPr>
              <w:t>Secondary MCL</w:t>
            </w:r>
          </w:p>
        </w:tc>
        <w:tc>
          <w:tcPr>
            <w:tcW w:w="3408" w:type="dxa"/>
          </w:tcPr>
          <w:p w14:paraId="75EF655C" w14:textId="77777777" w:rsidR="00AB1115" w:rsidRPr="008F3CF3" w:rsidRDefault="00AB1115" w:rsidP="00AB1115">
            <w:pPr>
              <w:overflowPunct w:val="0"/>
              <w:autoSpaceDE w:val="0"/>
              <w:autoSpaceDN w:val="0"/>
              <w:adjustRightInd w:val="0"/>
              <w:textAlignment w:val="baseline"/>
              <w:rPr>
                <w:b/>
                <w:u w:val="single"/>
              </w:rPr>
            </w:pPr>
            <w:r w:rsidRPr="008F3CF3">
              <w:rPr>
                <w:b/>
                <w:bCs/>
                <w:color w:val="151515"/>
                <w:u w:val="single"/>
              </w:rPr>
              <w:t>Noticeable Effects above the Secondary MCL</w:t>
            </w:r>
          </w:p>
        </w:tc>
      </w:tr>
      <w:tr w:rsidR="0046466B" w:rsidRPr="00AB1115" w14:paraId="780AE265" w14:textId="77777777" w:rsidTr="008F2FBA">
        <w:tc>
          <w:tcPr>
            <w:tcW w:w="1797" w:type="dxa"/>
          </w:tcPr>
          <w:p w14:paraId="1DDE6DA7" w14:textId="77777777" w:rsidR="0046466B" w:rsidRPr="008F3CF3" w:rsidRDefault="0046466B" w:rsidP="00AB1115">
            <w:pPr>
              <w:overflowPunct w:val="0"/>
              <w:autoSpaceDE w:val="0"/>
              <w:autoSpaceDN w:val="0"/>
              <w:adjustRightInd w:val="0"/>
              <w:textAlignment w:val="baseline"/>
              <w:rPr>
                <w:b/>
              </w:rPr>
            </w:pPr>
          </w:p>
        </w:tc>
        <w:tc>
          <w:tcPr>
            <w:tcW w:w="1977" w:type="dxa"/>
          </w:tcPr>
          <w:p w14:paraId="79215DC8" w14:textId="77777777" w:rsidR="0046466B" w:rsidRPr="008F3CF3" w:rsidRDefault="0046466B" w:rsidP="00AB1115">
            <w:pPr>
              <w:overflowPunct w:val="0"/>
              <w:autoSpaceDE w:val="0"/>
              <w:autoSpaceDN w:val="0"/>
              <w:adjustRightInd w:val="0"/>
              <w:textAlignment w:val="baseline"/>
              <w:rPr>
                <w:b/>
              </w:rPr>
            </w:pPr>
          </w:p>
        </w:tc>
        <w:tc>
          <w:tcPr>
            <w:tcW w:w="3408" w:type="dxa"/>
          </w:tcPr>
          <w:p w14:paraId="1017B1C1" w14:textId="77777777" w:rsidR="0046466B" w:rsidRPr="008F3CF3" w:rsidRDefault="0046466B" w:rsidP="00AB1115">
            <w:pPr>
              <w:overflowPunct w:val="0"/>
              <w:autoSpaceDE w:val="0"/>
              <w:autoSpaceDN w:val="0"/>
              <w:adjustRightInd w:val="0"/>
              <w:textAlignment w:val="baseline"/>
              <w:rPr>
                <w:b/>
                <w:bCs/>
                <w:color w:val="151515"/>
              </w:rPr>
            </w:pPr>
          </w:p>
        </w:tc>
      </w:tr>
      <w:tr w:rsidR="00AB1115" w:rsidRPr="00AB1115" w14:paraId="3B1EF5EE" w14:textId="77777777" w:rsidTr="008F2FBA">
        <w:tc>
          <w:tcPr>
            <w:tcW w:w="1797" w:type="dxa"/>
          </w:tcPr>
          <w:p w14:paraId="549C401D" w14:textId="77777777" w:rsidR="00AB1115" w:rsidRPr="008F3CF3" w:rsidRDefault="00AB1115" w:rsidP="00AB1115">
            <w:pPr>
              <w:overflowPunct w:val="0"/>
              <w:autoSpaceDE w:val="0"/>
              <w:autoSpaceDN w:val="0"/>
              <w:adjustRightInd w:val="0"/>
              <w:textAlignment w:val="baseline"/>
            </w:pPr>
            <w:r w:rsidRPr="008F3CF3">
              <w:t>Aluminum</w:t>
            </w:r>
          </w:p>
        </w:tc>
        <w:tc>
          <w:tcPr>
            <w:tcW w:w="1977" w:type="dxa"/>
          </w:tcPr>
          <w:p w14:paraId="09548975" w14:textId="77777777" w:rsidR="00AB1115" w:rsidRPr="008F3CF3" w:rsidRDefault="00AB1115" w:rsidP="00AB1115">
            <w:pPr>
              <w:overflowPunct w:val="0"/>
              <w:autoSpaceDE w:val="0"/>
              <w:autoSpaceDN w:val="0"/>
              <w:adjustRightInd w:val="0"/>
              <w:textAlignment w:val="baseline"/>
            </w:pPr>
            <w:r w:rsidRPr="008F3CF3">
              <w:t>0.2 mg/L</w:t>
            </w:r>
          </w:p>
        </w:tc>
        <w:tc>
          <w:tcPr>
            <w:tcW w:w="3408" w:type="dxa"/>
          </w:tcPr>
          <w:p w14:paraId="0B29F6B8"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colored water</w:t>
            </w:r>
          </w:p>
          <w:p w14:paraId="63EAA092" w14:textId="77777777" w:rsidR="00AB1115" w:rsidRPr="008F3CF3" w:rsidRDefault="00AB1115" w:rsidP="00AB1115">
            <w:pPr>
              <w:overflowPunct w:val="0"/>
              <w:autoSpaceDE w:val="0"/>
              <w:autoSpaceDN w:val="0"/>
              <w:adjustRightInd w:val="0"/>
              <w:textAlignment w:val="baseline"/>
            </w:pPr>
          </w:p>
        </w:tc>
      </w:tr>
      <w:tr w:rsidR="00AB1115" w:rsidRPr="00AB1115" w14:paraId="3FCC2C88" w14:textId="77777777" w:rsidTr="008F2FBA">
        <w:tc>
          <w:tcPr>
            <w:tcW w:w="1797" w:type="dxa"/>
          </w:tcPr>
          <w:p w14:paraId="2DCD6CBA" w14:textId="77777777" w:rsidR="00AB1115" w:rsidRPr="008F3CF3" w:rsidRDefault="00AB1115" w:rsidP="00AB1115">
            <w:pPr>
              <w:overflowPunct w:val="0"/>
              <w:autoSpaceDE w:val="0"/>
              <w:autoSpaceDN w:val="0"/>
              <w:adjustRightInd w:val="0"/>
              <w:textAlignment w:val="baseline"/>
            </w:pPr>
            <w:r w:rsidRPr="008F3CF3">
              <w:t>Chloride</w:t>
            </w:r>
          </w:p>
        </w:tc>
        <w:tc>
          <w:tcPr>
            <w:tcW w:w="1977" w:type="dxa"/>
          </w:tcPr>
          <w:p w14:paraId="3CD0D710" w14:textId="77777777" w:rsidR="00AB1115" w:rsidRPr="008F3CF3" w:rsidRDefault="00AB1115" w:rsidP="00AB1115">
            <w:pPr>
              <w:overflowPunct w:val="0"/>
              <w:autoSpaceDE w:val="0"/>
              <w:autoSpaceDN w:val="0"/>
              <w:adjustRightInd w:val="0"/>
              <w:textAlignment w:val="baseline"/>
            </w:pPr>
            <w:r w:rsidRPr="008F3CF3">
              <w:t>250 mg/L</w:t>
            </w:r>
          </w:p>
        </w:tc>
        <w:tc>
          <w:tcPr>
            <w:tcW w:w="3408" w:type="dxa"/>
          </w:tcPr>
          <w:p w14:paraId="32D76332"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salty taste</w:t>
            </w:r>
          </w:p>
          <w:p w14:paraId="0C053B9A" w14:textId="77777777" w:rsidR="00AB1115" w:rsidRPr="008F3CF3" w:rsidRDefault="00AB1115" w:rsidP="00AB1115">
            <w:pPr>
              <w:overflowPunct w:val="0"/>
              <w:autoSpaceDE w:val="0"/>
              <w:autoSpaceDN w:val="0"/>
              <w:adjustRightInd w:val="0"/>
              <w:textAlignment w:val="baseline"/>
            </w:pPr>
          </w:p>
        </w:tc>
      </w:tr>
      <w:tr w:rsidR="00AB1115" w:rsidRPr="00AB1115" w14:paraId="7A0F2756" w14:textId="77777777" w:rsidTr="008F2FBA">
        <w:tc>
          <w:tcPr>
            <w:tcW w:w="1797" w:type="dxa"/>
          </w:tcPr>
          <w:p w14:paraId="16D52FFB" w14:textId="77777777" w:rsidR="00AB1115" w:rsidRPr="008F3CF3" w:rsidRDefault="00AB1115" w:rsidP="00AB1115">
            <w:pPr>
              <w:overflowPunct w:val="0"/>
              <w:autoSpaceDE w:val="0"/>
              <w:autoSpaceDN w:val="0"/>
              <w:adjustRightInd w:val="0"/>
              <w:textAlignment w:val="baseline"/>
            </w:pPr>
            <w:r w:rsidRPr="008F3CF3">
              <w:t>Color</w:t>
            </w:r>
          </w:p>
        </w:tc>
        <w:tc>
          <w:tcPr>
            <w:tcW w:w="1977" w:type="dxa"/>
          </w:tcPr>
          <w:p w14:paraId="0B9E6A1B" w14:textId="77777777" w:rsidR="00AB1115" w:rsidRPr="008F3CF3" w:rsidRDefault="00AB1115" w:rsidP="00AB1115">
            <w:pPr>
              <w:overflowPunct w:val="0"/>
              <w:autoSpaceDE w:val="0"/>
              <w:autoSpaceDN w:val="0"/>
              <w:adjustRightInd w:val="0"/>
              <w:textAlignment w:val="baseline"/>
            </w:pPr>
            <w:r w:rsidRPr="008F3CF3">
              <w:t>15 color units</w:t>
            </w:r>
          </w:p>
        </w:tc>
        <w:tc>
          <w:tcPr>
            <w:tcW w:w="3408" w:type="dxa"/>
          </w:tcPr>
          <w:p w14:paraId="575950F1"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visible tint</w:t>
            </w:r>
          </w:p>
          <w:p w14:paraId="1883242A" w14:textId="77777777" w:rsidR="00AB1115" w:rsidRPr="008F3CF3" w:rsidRDefault="00AB1115" w:rsidP="00AB1115">
            <w:pPr>
              <w:overflowPunct w:val="0"/>
              <w:autoSpaceDE w:val="0"/>
              <w:autoSpaceDN w:val="0"/>
              <w:adjustRightInd w:val="0"/>
              <w:textAlignment w:val="baseline"/>
            </w:pPr>
          </w:p>
        </w:tc>
      </w:tr>
      <w:tr w:rsidR="00AB1115" w:rsidRPr="00AB1115" w14:paraId="30008C87" w14:textId="77777777" w:rsidTr="008F2FBA">
        <w:tc>
          <w:tcPr>
            <w:tcW w:w="1797" w:type="dxa"/>
          </w:tcPr>
          <w:p w14:paraId="32650468" w14:textId="77777777" w:rsidR="00AB1115" w:rsidRPr="008F3CF3" w:rsidRDefault="00AB1115" w:rsidP="00AB1115">
            <w:pPr>
              <w:overflowPunct w:val="0"/>
              <w:autoSpaceDE w:val="0"/>
              <w:autoSpaceDN w:val="0"/>
              <w:adjustRightInd w:val="0"/>
              <w:textAlignment w:val="baseline"/>
            </w:pPr>
            <w:r w:rsidRPr="008F3CF3">
              <w:t>Copper</w:t>
            </w:r>
            <w:r w:rsidRPr="008F3CF3">
              <w:tab/>
            </w:r>
          </w:p>
        </w:tc>
        <w:tc>
          <w:tcPr>
            <w:tcW w:w="1977" w:type="dxa"/>
          </w:tcPr>
          <w:p w14:paraId="6866CE7D" w14:textId="77777777" w:rsidR="00AB1115" w:rsidRPr="008F3CF3" w:rsidRDefault="00AB1115" w:rsidP="00AB1115">
            <w:pPr>
              <w:overflowPunct w:val="0"/>
              <w:autoSpaceDE w:val="0"/>
              <w:autoSpaceDN w:val="0"/>
              <w:adjustRightInd w:val="0"/>
              <w:textAlignment w:val="baseline"/>
            </w:pPr>
            <w:r w:rsidRPr="008F3CF3">
              <w:t>1 mg/L</w:t>
            </w:r>
          </w:p>
        </w:tc>
        <w:tc>
          <w:tcPr>
            <w:tcW w:w="3408" w:type="dxa"/>
          </w:tcPr>
          <w:p w14:paraId="4B0C80E7"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metallic taste; blue-green staining</w:t>
            </w:r>
          </w:p>
          <w:p w14:paraId="39BA028C" w14:textId="77777777" w:rsidR="00AB1115" w:rsidRPr="008F3CF3" w:rsidRDefault="00AB1115" w:rsidP="00AB1115">
            <w:pPr>
              <w:overflowPunct w:val="0"/>
              <w:autoSpaceDE w:val="0"/>
              <w:autoSpaceDN w:val="0"/>
              <w:adjustRightInd w:val="0"/>
              <w:textAlignment w:val="baseline"/>
            </w:pPr>
          </w:p>
        </w:tc>
      </w:tr>
      <w:tr w:rsidR="00AB1115" w:rsidRPr="00AB1115" w14:paraId="73BFF06E" w14:textId="77777777" w:rsidTr="008F2FBA">
        <w:tc>
          <w:tcPr>
            <w:tcW w:w="1797" w:type="dxa"/>
          </w:tcPr>
          <w:p w14:paraId="201BDE74" w14:textId="77777777" w:rsidR="00AB1115" w:rsidRPr="008F3CF3" w:rsidRDefault="00AB1115" w:rsidP="00AB1115">
            <w:pPr>
              <w:overflowPunct w:val="0"/>
              <w:autoSpaceDE w:val="0"/>
              <w:autoSpaceDN w:val="0"/>
              <w:adjustRightInd w:val="0"/>
              <w:textAlignment w:val="baseline"/>
            </w:pPr>
            <w:r w:rsidRPr="008F3CF3">
              <w:t>Fluoride</w:t>
            </w:r>
          </w:p>
        </w:tc>
        <w:tc>
          <w:tcPr>
            <w:tcW w:w="1977" w:type="dxa"/>
          </w:tcPr>
          <w:p w14:paraId="6831BF96" w14:textId="77777777" w:rsidR="00AB1115" w:rsidRPr="008F3CF3" w:rsidRDefault="00AB1115" w:rsidP="00AB1115">
            <w:pPr>
              <w:overflowPunct w:val="0"/>
              <w:autoSpaceDE w:val="0"/>
              <w:autoSpaceDN w:val="0"/>
              <w:adjustRightInd w:val="0"/>
              <w:textAlignment w:val="baseline"/>
            </w:pPr>
            <w:r w:rsidRPr="008F3CF3">
              <w:t>2.0 mg/L</w:t>
            </w:r>
          </w:p>
        </w:tc>
        <w:tc>
          <w:tcPr>
            <w:tcW w:w="3408" w:type="dxa"/>
          </w:tcPr>
          <w:p w14:paraId="578FC737"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tooth discoloration</w:t>
            </w:r>
          </w:p>
          <w:p w14:paraId="41DA6E22" w14:textId="77777777" w:rsidR="00AB1115" w:rsidRPr="008F3CF3" w:rsidRDefault="00AB1115" w:rsidP="00AB1115">
            <w:pPr>
              <w:overflowPunct w:val="0"/>
              <w:autoSpaceDE w:val="0"/>
              <w:autoSpaceDN w:val="0"/>
              <w:adjustRightInd w:val="0"/>
              <w:textAlignment w:val="baseline"/>
            </w:pPr>
          </w:p>
        </w:tc>
      </w:tr>
      <w:tr w:rsidR="00AB1115" w:rsidRPr="00AB1115" w14:paraId="52CE65D1" w14:textId="77777777" w:rsidTr="008F2FBA">
        <w:tc>
          <w:tcPr>
            <w:tcW w:w="1797" w:type="dxa"/>
          </w:tcPr>
          <w:p w14:paraId="2577A340" w14:textId="77777777" w:rsidR="00AB1115" w:rsidRPr="008F3CF3" w:rsidRDefault="00AB1115" w:rsidP="00AB1115">
            <w:pPr>
              <w:overflowPunct w:val="0"/>
              <w:autoSpaceDE w:val="0"/>
              <w:autoSpaceDN w:val="0"/>
              <w:adjustRightInd w:val="0"/>
              <w:textAlignment w:val="baseline"/>
            </w:pPr>
            <w:r w:rsidRPr="008F3CF3">
              <w:t>Foaming Agents</w:t>
            </w:r>
          </w:p>
        </w:tc>
        <w:tc>
          <w:tcPr>
            <w:tcW w:w="1977" w:type="dxa"/>
          </w:tcPr>
          <w:p w14:paraId="79BE8851" w14:textId="77777777" w:rsidR="00AB1115" w:rsidRPr="008F3CF3" w:rsidRDefault="00AB1115" w:rsidP="00AB1115">
            <w:pPr>
              <w:overflowPunct w:val="0"/>
              <w:autoSpaceDE w:val="0"/>
              <w:autoSpaceDN w:val="0"/>
              <w:adjustRightInd w:val="0"/>
              <w:textAlignment w:val="baseline"/>
            </w:pPr>
            <w:r w:rsidRPr="008F3CF3">
              <w:t>0.5 mg/L</w:t>
            </w:r>
          </w:p>
        </w:tc>
        <w:tc>
          <w:tcPr>
            <w:tcW w:w="3408" w:type="dxa"/>
          </w:tcPr>
          <w:p w14:paraId="1D8082DD"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frothy, cloudy; bitter taste; odor</w:t>
            </w:r>
          </w:p>
          <w:p w14:paraId="66292070" w14:textId="77777777" w:rsidR="00AB1115" w:rsidRPr="008F3CF3" w:rsidRDefault="00AB1115" w:rsidP="00AB1115">
            <w:pPr>
              <w:overflowPunct w:val="0"/>
              <w:autoSpaceDE w:val="0"/>
              <w:autoSpaceDN w:val="0"/>
              <w:adjustRightInd w:val="0"/>
              <w:textAlignment w:val="baseline"/>
            </w:pPr>
          </w:p>
        </w:tc>
      </w:tr>
      <w:tr w:rsidR="00AB1115" w:rsidRPr="00AB1115" w14:paraId="3211C8EB" w14:textId="77777777" w:rsidTr="008F2FBA">
        <w:tc>
          <w:tcPr>
            <w:tcW w:w="1797" w:type="dxa"/>
          </w:tcPr>
          <w:p w14:paraId="5324E9CD" w14:textId="77777777" w:rsidR="00AB1115" w:rsidRPr="008F3CF3" w:rsidRDefault="00AB1115" w:rsidP="00AB1115">
            <w:pPr>
              <w:overflowPunct w:val="0"/>
              <w:autoSpaceDE w:val="0"/>
              <w:autoSpaceDN w:val="0"/>
              <w:adjustRightInd w:val="0"/>
              <w:textAlignment w:val="baseline"/>
            </w:pPr>
            <w:r w:rsidRPr="008F3CF3">
              <w:t>Iron</w:t>
            </w:r>
          </w:p>
        </w:tc>
        <w:tc>
          <w:tcPr>
            <w:tcW w:w="1977" w:type="dxa"/>
          </w:tcPr>
          <w:p w14:paraId="4A2A465F" w14:textId="77777777" w:rsidR="00AB1115" w:rsidRPr="008F3CF3" w:rsidRDefault="00AB1115" w:rsidP="00AB1115">
            <w:pPr>
              <w:overflowPunct w:val="0"/>
              <w:autoSpaceDE w:val="0"/>
              <w:autoSpaceDN w:val="0"/>
              <w:adjustRightInd w:val="0"/>
              <w:textAlignment w:val="baseline"/>
            </w:pPr>
            <w:r w:rsidRPr="008F3CF3">
              <w:t>0.3 mg/L</w:t>
            </w:r>
          </w:p>
        </w:tc>
        <w:tc>
          <w:tcPr>
            <w:tcW w:w="3408" w:type="dxa"/>
          </w:tcPr>
          <w:p w14:paraId="52DA8FBD"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 xml:space="preserve">rusty color; sediment; metallic </w:t>
            </w:r>
            <w:r w:rsidRPr="008F3CF3">
              <w:rPr>
                <w:color w:val="151515"/>
              </w:rPr>
              <w:lastRenderedPageBreak/>
              <w:t>taste; reddish or orange staining</w:t>
            </w:r>
          </w:p>
          <w:p w14:paraId="25C92EB6" w14:textId="77777777" w:rsidR="00AB1115" w:rsidRPr="008F3CF3" w:rsidRDefault="00AB1115" w:rsidP="00AB1115">
            <w:pPr>
              <w:overflowPunct w:val="0"/>
              <w:autoSpaceDE w:val="0"/>
              <w:autoSpaceDN w:val="0"/>
              <w:adjustRightInd w:val="0"/>
              <w:textAlignment w:val="baseline"/>
            </w:pPr>
          </w:p>
        </w:tc>
      </w:tr>
      <w:tr w:rsidR="00AB1115" w:rsidRPr="00AB1115" w14:paraId="2B49E4FE" w14:textId="77777777" w:rsidTr="008F2FBA">
        <w:tc>
          <w:tcPr>
            <w:tcW w:w="1797" w:type="dxa"/>
          </w:tcPr>
          <w:p w14:paraId="6F55C02D" w14:textId="77777777" w:rsidR="00AB1115" w:rsidRPr="008F3CF3" w:rsidRDefault="00AB1115" w:rsidP="00AB1115">
            <w:pPr>
              <w:overflowPunct w:val="0"/>
              <w:autoSpaceDE w:val="0"/>
              <w:autoSpaceDN w:val="0"/>
              <w:adjustRightInd w:val="0"/>
              <w:textAlignment w:val="baseline"/>
            </w:pPr>
            <w:r w:rsidRPr="008F3CF3">
              <w:lastRenderedPageBreak/>
              <w:t>Manganese</w:t>
            </w:r>
          </w:p>
        </w:tc>
        <w:tc>
          <w:tcPr>
            <w:tcW w:w="1977" w:type="dxa"/>
          </w:tcPr>
          <w:p w14:paraId="47BA7243" w14:textId="77777777" w:rsidR="00AB1115" w:rsidRPr="008F3CF3" w:rsidRDefault="00AB1115" w:rsidP="00AB1115">
            <w:pPr>
              <w:overflowPunct w:val="0"/>
              <w:autoSpaceDE w:val="0"/>
              <w:autoSpaceDN w:val="0"/>
              <w:adjustRightInd w:val="0"/>
              <w:textAlignment w:val="baseline"/>
            </w:pPr>
            <w:r w:rsidRPr="008F3CF3">
              <w:t>0.05 mg/L</w:t>
            </w:r>
          </w:p>
        </w:tc>
        <w:tc>
          <w:tcPr>
            <w:tcW w:w="3408" w:type="dxa"/>
          </w:tcPr>
          <w:p w14:paraId="56BE4E2E"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black to brown color; black staining; bitter metallic taste</w:t>
            </w:r>
          </w:p>
          <w:p w14:paraId="5DCA0C62" w14:textId="77777777" w:rsidR="00AB1115" w:rsidRPr="008F3CF3" w:rsidRDefault="00AB1115" w:rsidP="00AB1115">
            <w:pPr>
              <w:overflowPunct w:val="0"/>
              <w:autoSpaceDE w:val="0"/>
              <w:autoSpaceDN w:val="0"/>
              <w:adjustRightInd w:val="0"/>
              <w:textAlignment w:val="baseline"/>
            </w:pPr>
          </w:p>
        </w:tc>
      </w:tr>
      <w:tr w:rsidR="00AB1115" w:rsidRPr="00AB1115" w14:paraId="4DAEBF5A" w14:textId="77777777" w:rsidTr="008F2FBA">
        <w:tc>
          <w:tcPr>
            <w:tcW w:w="1797" w:type="dxa"/>
          </w:tcPr>
          <w:p w14:paraId="4CE2B280" w14:textId="77777777" w:rsidR="00AB1115" w:rsidRPr="008F3CF3" w:rsidRDefault="00AB1115" w:rsidP="00AB1115">
            <w:pPr>
              <w:overflowPunct w:val="0"/>
              <w:autoSpaceDE w:val="0"/>
              <w:autoSpaceDN w:val="0"/>
              <w:adjustRightInd w:val="0"/>
              <w:textAlignment w:val="baseline"/>
            </w:pPr>
            <w:r w:rsidRPr="008F3CF3">
              <w:t>Odor</w:t>
            </w:r>
          </w:p>
        </w:tc>
        <w:tc>
          <w:tcPr>
            <w:tcW w:w="1977" w:type="dxa"/>
          </w:tcPr>
          <w:p w14:paraId="2FE6A441" w14:textId="77777777" w:rsidR="00AB1115" w:rsidRPr="008F3CF3" w:rsidRDefault="00AB1115" w:rsidP="00AB1115">
            <w:pPr>
              <w:overflowPunct w:val="0"/>
              <w:autoSpaceDE w:val="0"/>
              <w:autoSpaceDN w:val="0"/>
              <w:adjustRightInd w:val="0"/>
              <w:textAlignment w:val="baseline"/>
            </w:pPr>
            <w:r w:rsidRPr="008F3CF3">
              <w:t>3 T.O.N. (Threshold Odor Number)</w:t>
            </w:r>
          </w:p>
          <w:p w14:paraId="3E381D97" w14:textId="77777777" w:rsidR="00AB1115" w:rsidRPr="008F3CF3" w:rsidRDefault="00AB1115" w:rsidP="00AB1115">
            <w:pPr>
              <w:overflowPunct w:val="0"/>
              <w:autoSpaceDE w:val="0"/>
              <w:autoSpaceDN w:val="0"/>
              <w:adjustRightInd w:val="0"/>
              <w:textAlignment w:val="baseline"/>
            </w:pPr>
          </w:p>
        </w:tc>
        <w:tc>
          <w:tcPr>
            <w:tcW w:w="3408" w:type="dxa"/>
          </w:tcPr>
          <w:p w14:paraId="09D40ABE"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"rotten-egg", musty or chemical smell</w:t>
            </w:r>
          </w:p>
          <w:p w14:paraId="26ACC92E" w14:textId="77777777" w:rsidR="00AB1115" w:rsidRPr="008F3CF3" w:rsidRDefault="00AB1115" w:rsidP="00AB1115">
            <w:pPr>
              <w:overflowPunct w:val="0"/>
              <w:autoSpaceDE w:val="0"/>
              <w:autoSpaceDN w:val="0"/>
              <w:adjustRightInd w:val="0"/>
              <w:textAlignment w:val="baseline"/>
            </w:pPr>
          </w:p>
        </w:tc>
      </w:tr>
      <w:tr w:rsidR="00AB1115" w:rsidRPr="00AB1115" w14:paraId="0039E7DC" w14:textId="77777777" w:rsidTr="008F2FBA">
        <w:tc>
          <w:tcPr>
            <w:tcW w:w="1797" w:type="dxa"/>
          </w:tcPr>
          <w:p w14:paraId="43EFD123" w14:textId="77777777" w:rsidR="00AB1115" w:rsidRPr="008F3CF3" w:rsidRDefault="00AB1115" w:rsidP="00AB1115">
            <w:pPr>
              <w:overflowPunct w:val="0"/>
              <w:autoSpaceDE w:val="0"/>
              <w:autoSpaceDN w:val="0"/>
              <w:adjustRightInd w:val="0"/>
              <w:textAlignment w:val="baseline"/>
            </w:pPr>
            <w:r w:rsidRPr="008F3CF3">
              <w:t>Silver</w:t>
            </w:r>
          </w:p>
        </w:tc>
        <w:tc>
          <w:tcPr>
            <w:tcW w:w="1977" w:type="dxa"/>
          </w:tcPr>
          <w:p w14:paraId="623705B4" w14:textId="77777777" w:rsidR="00AB1115" w:rsidRPr="008F3CF3" w:rsidRDefault="00AB1115" w:rsidP="00AB1115">
            <w:pPr>
              <w:overflowPunct w:val="0"/>
              <w:autoSpaceDE w:val="0"/>
              <w:autoSpaceDN w:val="0"/>
              <w:adjustRightInd w:val="0"/>
              <w:textAlignment w:val="baseline"/>
            </w:pPr>
            <w:r w:rsidRPr="008F3CF3">
              <w:t>0.1 mg/L</w:t>
            </w:r>
          </w:p>
        </w:tc>
        <w:tc>
          <w:tcPr>
            <w:tcW w:w="3408" w:type="dxa"/>
          </w:tcPr>
          <w:p w14:paraId="73E2A9FF"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skin discoloration; graying of the white part of the eye</w:t>
            </w:r>
          </w:p>
          <w:p w14:paraId="59A09325" w14:textId="77777777" w:rsidR="00AB1115" w:rsidRPr="008F3CF3" w:rsidRDefault="00AB1115" w:rsidP="00AB1115">
            <w:pPr>
              <w:overflowPunct w:val="0"/>
              <w:autoSpaceDE w:val="0"/>
              <w:autoSpaceDN w:val="0"/>
              <w:adjustRightInd w:val="0"/>
              <w:textAlignment w:val="baseline"/>
            </w:pPr>
          </w:p>
        </w:tc>
      </w:tr>
      <w:tr w:rsidR="00AB1115" w:rsidRPr="00AB1115" w14:paraId="6DA28C50" w14:textId="77777777" w:rsidTr="008F2FBA">
        <w:tc>
          <w:tcPr>
            <w:tcW w:w="1797" w:type="dxa"/>
          </w:tcPr>
          <w:p w14:paraId="4880883C" w14:textId="77777777" w:rsidR="00AB1115" w:rsidRPr="008F3CF3" w:rsidRDefault="00AB1115" w:rsidP="00AB1115">
            <w:pPr>
              <w:overflowPunct w:val="0"/>
              <w:autoSpaceDE w:val="0"/>
              <w:autoSpaceDN w:val="0"/>
              <w:adjustRightInd w:val="0"/>
              <w:textAlignment w:val="baseline"/>
            </w:pPr>
            <w:r w:rsidRPr="008F3CF3">
              <w:t>Sulfate</w:t>
            </w:r>
          </w:p>
        </w:tc>
        <w:tc>
          <w:tcPr>
            <w:tcW w:w="1977" w:type="dxa"/>
          </w:tcPr>
          <w:p w14:paraId="05F7512D" w14:textId="77777777" w:rsidR="00AB1115" w:rsidRPr="008F3CF3" w:rsidRDefault="00AB1115" w:rsidP="00AB1115">
            <w:pPr>
              <w:overflowPunct w:val="0"/>
              <w:autoSpaceDE w:val="0"/>
              <w:autoSpaceDN w:val="0"/>
              <w:adjustRightInd w:val="0"/>
              <w:textAlignment w:val="baseline"/>
            </w:pPr>
            <w:r w:rsidRPr="008F3CF3">
              <w:t>250 mg/L</w:t>
            </w:r>
          </w:p>
        </w:tc>
        <w:tc>
          <w:tcPr>
            <w:tcW w:w="3408" w:type="dxa"/>
          </w:tcPr>
          <w:p w14:paraId="7BF1D202"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salty taste</w:t>
            </w:r>
          </w:p>
          <w:p w14:paraId="07128C71" w14:textId="77777777" w:rsidR="00AB1115" w:rsidRPr="008F3CF3" w:rsidRDefault="00AB1115" w:rsidP="00AB1115">
            <w:pPr>
              <w:overflowPunct w:val="0"/>
              <w:autoSpaceDE w:val="0"/>
              <w:autoSpaceDN w:val="0"/>
              <w:adjustRightInd w:val="0"/>
              <w:textAlignment w:val="baseline"/>
            </w:pPr>
          </w:p>
        </w:tc>
      </w:tr>
      <w:tr w:rsidR="00AB1115" w:rsidRPr="00AB1115" w14:paraId="3BCDDE96" w14:textId="77777777" w:rsidTr="008F2FBA">
        <w:trPr>
          <w:trHeight w:val="909"/>
        </w:trPr>
        <w:tc>
          <w:tcPr>
            <w:tcW w:w="1797" w:type="dxa"/>
          </w:tcPr>
          <w:p w14:paraId="0FEDBAEC" w14:textId="77777777" w:rsidR="00AB1115" w:rsidRPr="008F3CF3" w:rsidRDefault="00AB1115" w:rsidP="00AB1115">
            <w:pPr>
              <w:overflowPunct w:val="0"/>
              <w:autoSpaceDE w:val="0"/>
              <w:autoSpaceDN w:val="0"/>
              <w:adjustRightInd w:val="0"/>
              <w:textAlignment w:val="baseline"/>
            </w:pPr>
            <w:r w:rsidRPr="008F3CF3">
              <w:t>Total Dissolved Solids</w:t>
            </w:r>
          </w:p>
        </w:tc>
        <w:tc>
          <w:tcPr>
            <w:tcW w:w="1977" w:type="dxa"/>
          </w:tcPr>
          <w:p w14:paraId="2E28ABE7" w14:textId="77777777" w:rsidR="00AB1115" w:rsidRPr="008F3CF3" w:rsidRDefault="00AB1115" w:rsidP="00AB1115">
            <w:pPr>
              <w:overflowPunct w:val="0"/>
              <w:autoSpaceDE w:val="0"/>
              <w:autoSpaceDN w:val="0"/>
              <w:adjustRightInd w:val="0"/>
              <w:textAlignment w:val="baseline"/>
            </w:pPr>
            <w:r w:rsidRPr="008F3CF3">
              <w:t>500 mg/L</w:t>
            </w:r>
          </w:p>
        </w:tc>
        <w:tc>
          <w:tcPr>
            <w:tcW w:w="3408" w:type="dxa"/>
            <w:vAlign w:val="center"/>
          </w:tcPr>
          <w:p w14:paraId="69579149" w14:textId="77777777" w:rsidR="00AB1115" w:rsidRPr="008F3CF3" w:rsidRDefault="00AB1115" w:rsidP="00AB1115">
            <w:pPr>
              <w:overflowPunct w:val="0"/>
              <w:autoSpaceDE w:val="0"/>
              <w:autoSpaceDN w:val="0"/>
              <w:adjustRightInd w:val="0"/>
              <w:textAlignment w:val="baseline"/>
              <w:rPr>
                <w:color w:val="151515"/>
              </w:rPr>
            </w:pPr>
            <w:r w:rsidRPr="008F3CF3">
              <w:rPr>
                <w:color w:val="151515"/>
              </w:rPr>
              <w:t xml:space="preserve">hardness; deposits; </w:t>
            </w:r>
          </w:p>
          <w:p w14:paraId="0890F32E" w14:textId="05C6D095" w:rsidR="00AB1115" w:rsidRPr="008F3CF3" w:rsidRDefault="00AB1115" w:rsidP="00061931">
            <w:pPr>
              <w:overflowPunct w:val="0"/>
              <w:autoSpaceDE w:val="0"/>
              <w:autoSpaceDN w:val="0"/>
              <w:adjustRightInd w:val="0"/>
              <w:textAlignment w:val="baseline"/>
              <w:rPr>
                <w:color w:val="151515"/>
              </w:rPr>
            </w:pPr>
            <w:r w:rsidRPr="008F3CF3">
              <w:rPr>
                <w:color w:val="151515"/>
              </w:rPr>
              <w:t>colored water; staining; salty taste</w:t>
            </w:r>
          </w:p>
        </w:tc>
      </w:tr>
    </w:tbl>
    <w:p w14:paraId="2868FFD0" w14:textId="77777777" w:rsidR="00061931" w:rsidRDefault="00061931" w:rsidP="0080281B">
      <w:pPr>
        <w:widowControl w:val="0"/>
        <w:autoSpaceDE w:val="0"/>
        <w:autoSpaceDN w:val="0"/>
        <w:adjustRightInd w:val="0"/>
        <w:ind w:left="1440" w:hanging="720"/>
      </w:pPr>
    </w:p>
    <w:p w14:paraId="63E10724" w14:textId="373C8938" w:rsidR="0080281B" w:rsidRPr="00061931" w:rsidRDefault="00BA4CD0" w:rsidP="0080281B">
      <w:pPr>
        <w:widowControl w:val="0"/>
        <w:autoSpaceDE w:val="0"/>
        <w:autoSpaceDN w:val="0"/>
        <w:adjustRightInd w:val="0"/>
        <w:ind w:left="1440" w:hanging="720"/>
      </w:pPr>
      <w:r w:rsidRPr="00061931">
        <w:t>(Source:  Amended at 4</w:t>
      </w:r>
      <w:r w:rsidR="00174F28" w:rsidRPr="00061931">
        <w:t>7</w:t>
      </w:r>
      <w:r w:rsidRPr="00061931">
        <w:t xml:space="preserve"> Ill. Reg. </w:t>
      </w:r>
      <w:r w:rsidR="00CE5B46" w:rsidRPr="00061931">
        <w:t>7424</w:t>
      </w:r>
      <w:r w:rsidRPr="00061931">
        <w:t xml:space="preserve">, effective </w:t>
      </w:r>
      <w:r w:rsidR="00CE5B46" w:rsidRPr="00061931">
        <w:t>May 16, 2023</w:t>
      </w:r>
      <w:r w:rsidRPr="00061931">
        <w:t>)</w:t>
      </w:r>
    </w:p>
    <w:sectPr w:rsidR="0080281B" w:rsidRPr="00061931" w:rsidSect="008028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2548"/>
    <w:multiLevelType w:val="hybridMultilevel"/>
    <w:tmpl w:val="BD1C8044"/>
    <w:lvl w:ilvl="0" w:tplc="F086FF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281B"/>
    <w:rsid w:val="00061931"/>
    <w:rsid w:val="000C763E"/>
    <w:rsid w:val="000E0782"/>
    <w:rsid w:val="001151B3"/>
    <w:rsid w:val="001378C7"/>
    <w:rsid w:val="00174F28"/>
    <w:rsid w:val="001A39DF"/>
    <w:rsid w:val="00266D6F"/>
    <w:rsid w:val="004140AD"/>
    <w:rsid w:val="004264A1"/>
    <w:rsid w:val="0046466B"/>
    <w:rsid w:val="005C3366"/>
    <w:rsid w:val="00642C69"/>
    <w:rsid w:val="007101DC"/>
    <w:rsid w:val="007B0AE3"/>
    <w:rsid w:val="007D4BCE"/>
    <w:rsid w:val="007E4B1D"/>
    <w:rsid w:val="0080281B"/>
    <w:rsid w:val="0081480F"/>
    <w:rsid w:val="008F2FBA"/>
    <w:rsid w:val="008F3CF3"/>
    <w:rsid w:val="00903DB4"/>
    <w:rsid w:val="00AB1115"/>
    <w:rsid w:val="00AB6413"/>
    <w:rsid w:val="00AC62F3"/>
    <w:rsid w:val="00AD2ADA"/>
    <w:rsid w:val="00BA4CD0"/>
    <w:rsid w:val="00BA6AC9"/>
    <w:rsid w:val="00C64988"/>
    <w:rsid w:val="00CE5B46"/>
    <w:rsid w:val="00D10D5D"/>
    <w:rsid w:val="00DA5D44"/>
    <w:rsid w:val="00E30EFA"/>
    <w:rsid w:val="00EF53AC"/>
    <w:rsid w:val="00F1415C"/>
    <w:rsid w:val="00F7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BD95EA"/>
  <w15:docId w15:val="{6CB26E52-E3D5-45C5-B71B-BC28E6A3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115"/>
    <w:rPr>
      <w:rFonts w:eastAsiaTheme="minorHAnsi"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601</vt:lpstr>
    </vt:vector>
  </TitlesOfParts>
  <Company>State of Illinois</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601</dc:title>
  <dc:subject/>
  <dc:creator>Illinois General Assembly</dc:creator>
  <cp:keywords/>
  <dc:description/>
  <cp:lastModifiedBy>Bockewitz, Crystal K.</cp:lastModifiedBy>
  <cp:revision>7</cp:revision>
  <dcterms:created xsi:type="dcterms:W3CDTF">2023-04-14T15:42:00Z</dcterms:created>
  <dcterms:modified xsi:type="dcterms:W3CDTF">2023-06-29T16:40:00Z</dcterms:modified>
</cp:coreProperties>
</file>