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DD" w:rsidRDefault="004D4466" w:rsidP="00695BD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695BDD">
        <w:rPr>
          <w:b/>
          <w:bCs/>
        </w:rPr>
        <w:t>Section 506.ILLUSTRATION B  Irrevocable Standby Letter of Credit (Repealed)</w:t>
      </w:r>
      <w:r w:rsidR="00695BDD">
        <w:t xml:space="preserve"> </w:t>
      </w:r>
    </w:p>
    <w:p w:rsidR="00695BDD" w:rsidRDefault="00695BDD" w:rsidP="00695BDD">
      <w:pPr>
        <w:widowControl w:val="0"/>
        <w:autoSpaceDE w:val="0"/>
        <w:autoSpaceDN w:val="0"/>
        <w:adjustRightInd w:val="0"/>
      </w:pPr>
    </w:p>
    <w:p w:rsidR="00695BDD" w:rsidRDefault="00695BDD" w:rsidP="00695BD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14883, effective November 15, 2001) </w:t>
      </w:r>
    </w:p>
    <w:sectPr w:rsidR="00695BDD" w:rsidSect="00695B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5BDD"/>
    <w:rsid w:val="00061739"/>
    <w:rsid w:val="001F5761"/>
    <w:rsid w:val="004D4466"/>
    <w:rsid w:val="005C3366"/>
    <w:rsid w:val="00695BDD"/>
    <w:rsid w:val="00B8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506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506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