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B93" w:rsidRDefault="008E1B93" w:rsidP="008E1B93">
      <w:pPr>
        <w:widowControl w:val="0"/>
        <w:autoSpaceDE w:val="0"/>
        <w:autoSpaceDN w:val="0"/>
        <w:adjustRightInd w:val="0"/>
      </w:pPr>
    </w:p>
    <w:p w:rsidR="008E1B93" w:rsidRDefault="008E1B93" w:rsidP="008E1B93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406.110  Alternate Effluent Standards for Coal Mine Discharges During Precipitation Events</w:t>
      </w:r>
      <w:r>
        <w:t xml:space="preserve"> </w:t>
      </w:r>
    </w:p>
    <w:p w:rsidR="008E1B93" w:rsidRDefault="008E1B93" w:rsidP="008E1B93">
      <w:pPr>
        <w:widowControl w:val="0"/>
        <w:autoSpaceDE w:val="0"/>
        <w:autoSpaceDN w:val="0"/>
        <w:adjustRightInd w:val="0"/>
      </w:pPr>
    </w:p>
    <w:p w:rsidR="008E1B93" w:rsidRDefault="008E1B93" w:rsidP="008E1B9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Discharges from mountaintop removal </w:t>
      </w:r>
      <w:r w:rsidR="006C1AC7">
        <w:t>areas</w:t>
      </w:r>
      <w:r>
        <w:t xml:space="preserve">, steep slope areas, and coal preparation plants and plant associated areas, </w:t>
      </w:r>
      <w:r w:rsidR="006C1AC7">
        <w:t>and discharges of alkaline mine drainage</w:t>
      </w:r>
      <w:r>
        <w:t xml:space="preserve"> are eligible for alternate effluent limitations during precipitation events.  </w:t>
      </w:r>
      <w:r w:rsidR="006C1AC7" w:rsidRPr="00095610">
        <w:t xml:space="preserve">Discharges ineligible for alternate effluent limitations during precipitation events include drainage from coal refuse piles and discharges of alkaline mine drainage from underground mines </w:t>
      </w:r>
      <w:r w:rsidR="00273097">
        <w:t xml:space="preserve">that </w:t>
      </w:r>
      <w:r w:rsidR="006C1AC7" w:rsidRPr="00095610">
        <w:t>are not commingled with other eligible discharges.</w:t>
      </w:r>
      <w:r w:rsidR="006C1AC7" w:rsidRPr="00B70766">
        <w:rPr>
          <w:u w:val="single"/>
        </w:rPr>
        <w:t xml:space="preserve">  </w:t>
      </w:r>
      <w:r>
        <w:t xml:space="preserve">Any discharge or increase in </w:t>
      </w:r>
      <w:r w:rsidR="006C1AC7">
        <w:t>discharge</w:t>
      </w:r>
      <w:r>
        <w:t xml:space="preserve"> volume  caused by precipitation within any 24-hour period less than or equal to the 10-year, 24-hour precipitation event (or snowmelt of equivalent volume) may comply with the following limitations instead of those in </w:t>
      </w:r>
      <w:r w:rsidR="006C1AC7">
        <w:t xml:space="preserve">Section </w:t>
      </w:r>
      <w:r>
        <w:t xml:space="preserve">406.106(b): </w:t>
      </w:r>
    </w:p>
    <w:p w:rsidR="008E1B93" w:rsidRDefault="008E1B93" w:rsidP="0073474B">
      <w:pPr>
        <w:widowControl w:val="0"/>
        <w:autoSpaceDE w:val="0"/>
        <w:autoSpaceDN w:val="0"/>
        <w:adjustRightInd w:val="0"/>
      </w:pPr>
    </w:p>
    <w:tbl>
      <w:tblPr>
        <w:tblW w:w="0" w:type="auto"/>
        <w:tblInd w:w="2292" w:type="dxa"/>
        <w:tblLook w:val="0000" w:firstRow="0" w:lastRow="0" w:firstColumn="0" w:lastColumn="0" w:noHBand="0" w:noVBand="0"/>
      </w:tblPr>
      <w:tblGrid>
        <w:gridCol w:w="2793"/>
        <w:gridCol w:w="3192"/>
      </w:tblGrid>
      <w:tr w:rsidR="00EA7E26" w:rsidTr="00EA7E26">
        <w:trPr>
          <w:trHeight w:val="477"/>
        </w:trPr>
        <w:tc>
          <w:tcPr>
            <w:tcW w:w="2793" w:type="dxa"/>
          </w:tcPr>
          <w:p w:rsidR="00EA7E26" w:rsidRDefault="00EA7E26" w:rsidP="003C4D21">
            <w:pPr>
              <w:widowControl w:val="0"/>
              <w:autoSpaceDE w:val="0"/>
              <w:autoSpaceDN w:val="0"/>
              <w:adjustRightInd w:val="0"/>
            </w:pPr>
            <w:r>
              <w:t>Constituent</w:t>
            </w:r>
          </w:p>
        </w:tc>
        <w:tc>
          <w:tcPr>
            <w:tcW w:w="3192" w:type="dxa"/>
          </w:tcPr>
          <w:p w:rsidR="00EA7E26" w:rsidRPr="00F47A4E" w:rsidRDefault="00EA7E26" w:rsidP="002977F4">
            <w:pPr>
              <w:ind w:left="-120" w:right="-90"/>
              <w:jc w:val="center"/>
            </w:pPr>
            <w:r w:rsidRPr="00F47A4E">
              <w:t>Concentration</w:t>
            </w:r>
          </w:p>
        </w:tc>
      </w:tr>
      <w:tr w:rsidR="00EA7E26" w:rsidTr="00EA7E26">
        <w:tc>
          <w:tcPr>
            <w:tcW w:w="2793" w:type="dxa"/>
          </w:tcPr>
          <w:p w:rsidR="00EA7E26" w:rsidRDefault="00EA7E26" w:rsidP="003C4D21">
            <w:pPr>
              <w:widowControl w:val="0"/>
              <w:autoSpaceDE w:val="0"/>
              <w:autoSpaceDN w:val="0"/>
              <w:adjustRightInd w:val="0"/>
            </w:pPr>
            <w:r>
              <w:t>Settleable solids</w:t>
            </w:r>
          </w:p>
        </w:tc>
        <w:tc>
          <w:tcPr>
            <w:tcW w:w="3192" w:type="dxa"/>
            <w:vAlign w:val="center"/>
          </w:tcPr>
          <w:p w:rsidR="00EA7E26" w:rsidRDefault="00EA7E26" w:rsidP="002977F4">
            <w:pPr>
              <w:pStyle w:val="ListBullet"/>
              <w:ind w:left="-120" w:right="-90" w:firstLine="0"/>
              <w:jc w:val="center"/>
            </w:pPr>
            <w:r>
              <w:t>0.5 ml/L</w:t>
            </w:r>
          </w:p>
        </w:tc>
      </w:tr>
      <w:tr w:rsidR="00EA7E26" w:rsidTr="00EA7E26">
        <w:tc>
          <w:tcPr>
            <w:tcW w:w="2793" w:type="dxa"/>
          </w:tcPr>
          <w:p w:rsidR="00EA7E26" w:rsidRDefault="00EA7E26" w:rsidP="003C4D21">
            <w:pPr>
              <w:widowControl w:val="0"/>
              <w:autoSpaceDE w:val="0"/>
              <w:autoSpaceDN w:val="0"/>
              <w:adjustRightInd w:val="0"/>
            </w:pPr>
            <w:r>
              <w:t>pH (range)</w:t>
            </w:r>
          </w:p>
        </w:tc>
        <w:tc>
          <w:tcPr>
            <w:tcW w:w="3192" w:type="dxa"/>
            <w:vAlign w:val="center"/>
          </w:tcPr>
          <w:p w:rsidR="00EA7E26" w:rsidRDefault="00EA7E26" w:rsidP="002977F4">
            <w:pPr>
              <w:pStyle w:val="ListBullet"/>
              <w:ind w:left="-120" w:right="-90" w:firstLine="0"/>
              <w:jc w:val="center"/>
            </w:pPr>
            <w:r>
              <w:t>6-9</w:t>
            </w:r>
          </w:p>
        </w:tc>
      </w:tr>
    </w:tbl>
    <w:p w:rsidR="008E1B93" w:rsidRDefault="008E1B93" w:rsidP="0073474B">
      <w:pPr>
        <w:widowControl w:val="0"/>
        <w:autoSpaceDE w:val="0"/>
        <w:autoSpaceDN w:val="0"/>
        <w:adjustRightInd w:val="0"/>
      </w:pPr>
    </w:p>
    <w:p w:rsidR="008E1B93" w:rsidRDefault="008E1B93" w:rsidP="008E1B9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Discharges of acid or ferruginous mine discharge from coal refuse disposal piles are eligible for alternate effluent limitations during precipitation events.  Any discharge or increase in </w:t>
      </w:r>
      <w:r w:rsidR="006C1AC7">
        <w:t>discharge</w:t>
      </w:r>
      <w:r>
        <w:t xml:space="preserve"> volume caused by precipitation within any 24-hour period greater than the 1-year, 24-hour precipitation event and less than or equal to the 10-year, 24-hour precipitation event (or snowmelt of equivalent volume) may comply with the following limitations instead of those in </w:t>
      </w:r>
      <w:r w:rsidR="006C1AC7">
        <w:t xml:space="preserve">Section </w:t>
      </w:r>
      <w:r>
        <w:t xml:space="preserve">406.106(b): </w:t>
      </w:r>
    </w:p>
    <w:p w:rsidR="008E1B93" w:rsidRDefault="008E1B93" w:rsidP="0073474B">
      <w:pPr>
        <w:widowControl w:val="0"/>
        <w:autoSpaceDE w:val="0"/>
        <w:autoSpaceDN w:val="0"/>
        <w:adjustRightInd w:val="0"/>
      </w:pPr>
    </w:p>
    <w:tbl>
      <w:tblPr>
        <w:tblW w:w="0" w:type="auto"/>
        <w:tblInd w:w="2340" w:type="dxa"/>
        <w:tblLook w:val="0000" w:firstRow="0" w:lastRow="0" w:firstColumn="0" w:lastColumn="0" w:noHBand="0" w:noVBand="0"/>
      </w:tblPr>
      <w:tblGrid>
        <w:gridCol w:w="2793"/>
        <w:gridCol w:w="3102"/>
      </w:tblGrid>
      <w:tr w:rsidR="00EA7E26" w:rsidTr="00EA7E26">
        <w:trPr>
          <w:trHeight w:val="495"/>
        </w:trPr>
        <w:tc>
          <w:tcPr>
            <w:tcW w:w="2793" w:type="dxa"/>
          </w:tcPr>
          <w:p w:rsidR="00EA7E26" w:rsidRDefault="00EA7E26" w:rsidP="003C4D21">
            <w:pPr>
              <w:widowControl w:val="0"/>
              <w:autoSpaceDE w:val="0"/>
              <w:autoSpaceDN w:val="0"/>
              <w:adjustRightInd w:val="0"/>
            </w:pPr>
            <w:r>
              <w:t>Constituent</w:t>
            </w:r>
          </w:p>
        </w:tc>
        <w:tc>
          <w:tcPr>
            <w:tcW w:w="3102" w:type="dxa"/>
          </w:tcPr>
          <w:p w:rsidR="00EA7E26" w:rsidRDefault="00EA7E26" w:rsidP="002977F4">
            <w:pPr>
              <w:widowControl w:val="0"/>
              <w:autoSpaceDE w:val="0"/>
              <w:autoSpaceDN w:val="0"/>
              <w:adjustRightInd w:val="0"/>
              <w:ind w:left="-84" w:right="-90"/>
              <w:jc w:val="center"/>
            </w:pPr>
            <w:r>
              <w:t>Concentration</w:t>
            </w:r>
          </w:p>
        </w:tc>
      </w:tr>
      <w:tr w:rsidR="00EA7E26" w:rsidTr="00EA7E26">
        <w:tc>
          <w:tcPr>
            <w:tcW w:w="2793" w:type="dxa"/>
          </w:tcPr>
          <w:p w:rsidR="00EA7E26" w:rsidRDefault="00EA7E26" w:rsidP="003C4D21">
            <w:pPr>
              <w:widowControl w:val="0"/>
              <w:autoSpaceDE w:val="0"/>
              <w:autoSpaceDN w:val="0"/>
              <w:adjustRightInd w:val="0"/>
            </w:pPr>
            <w:r>
              <w:t>Settleable solids</w:t>
            </w:r>
          </w:p>
        </w:tc>
        <w:tc>
          <w:tcPr>
            <w:tcW w:w="3102" w:type="dxa"/>
          </w:tcPr>
          <w:p w:rsidR="00EA7E26" w:rsidRDefault="00EA7E26" w:rsidP="002977F4">
            <w:pPr>
              <w:pStyle w:val="ListBullet"/>
              <w:ind w:left="-84" w:right="-90" w:firstLine="0"/>
              <w:jc w:val="center"/>
            </w:pPr>
            <w:r>
              <w:t>0.5 ml/L</w:t>
            </w:r>
          </w:p>
        </w:tc>
      </w:tr>
      <w:tr w:rsidR="00EA7E26" w:rsidTr="00EA7E26">
        <w:tc>
          <w:tcPr>
            <w:tcW w:w="2793" w:type="dxa"/>
          </w:tcPr>
          <w:p w:rsidR="00EA7E26" w:rsidRDefault="00EA7E26" w:rsidP="003C4D21">
            <w:pPr>
              <w:widowControl w:val="0"/>
              <w:autoSpaceDE w:val="0"/>
              <w:autoSpaceDN w:val="0"/>
              <w:adjustRightInd w:val="0"/>
            </w:pPr>
            <w:r>
              <w:t>pH (range)</w:t>
            </w:r>
          </w:p>
        </w:tc>
        <w:tc>
          <w:tcPr>
            <w:tcW w:w="3102" w:type="dxa"/>
          </w:tcPr>
          <w:p w:rsidR="00EA7E26" w:rsidRDefault="00EA7E26" w:rsidP="002977F4">
            <w:pPr>
              <w:pStyle w:val="ListBullet"/>
              <w:ind w:left="-84" w:right="-90" w:firstLine="0"/>
              <w:jc w:val="center"/>
            </w:pPr>
            <w:r>
              <w:t>6-9</w:t>
            </w:r>
          </w:p>
        </w:tc>
      </w:tr>
    </w:tbl>
    <w:p w:rsidR="008E1B93" w:rsidRDefault="008E1B93" w:rsidP="0073474B">
      <w:pPr>
        <w:widowControl w:val="0"/>
        <w:autoSpaceDE w:val="0"/>
        <w:autoSpaceDN w:val="0"/>
        <w:adjustRightInd w:val="0"/>
      </w:pPr>
    </w:p>
    <w:p w:rsidR="008E1B93" w:rsidRDefault="008E1B93" w:rsidP="008E1B9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Discharges of acid or ferruginous mine drainage (</w:t>
      </w:r>
      <w:r w:rsidR="006C1AC7">
        <w:t>excluding</w:t>
      </w:r>
      <w:r>
        <w:t xml:space="preserve"> discharges in subsection (b), mountaintop removal </w:t>
      </w:r>
      <w:r w:rsidR="006C1AC7">
        <w:t>area discharges</w:t>
      </w:r>
      <w:r>
        <w:t xml:space="preserve">, steep slope </w:t>
      </w:r>
      <w:r w:rsidR="003561E7">
        <w:t>area discharges</w:t>
      </w:r>
      <w:r>
        <w:t>, controlled surface mines discharges</w:t>
      </w:r>
      <w:r w:rsidR="00273097">
        <w:t>,</w:t>
      </w:r>
      <w:r>
        <w:t xml:space="preserve"> and discharges from underground workings)</w:t>
      </w:r>
      <w:r w:rsidR="003561E7">
        <w:t xml:space="preserve"> caused by precipitation</w:t>
      </w:r>
      <w:r>
        <w:t xml:space="preserve">: </w:t>
      </w:r>
    </w:p>
    <w:p w:rsidR="00713D8A" w:rsidRDefault="00713D8A" w:rsidP="0073474B">
      <w:pPr>
        <w:widowControl w:val="0"/>
        <w:autoSpaceDE w:val="0"/>
        <w:autoSpaceDN w:val="0"/>
        <w:adjustRightInd w:val="0"/>
      </w:pPr>
    </w:p>
    <w:p w:rsidR="008E1B93" w:rsidRDefault="008E1B93" w:rsidP="008E1B9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3561E7">
        <w:t>Within</w:t>
      </w:r>
      <w:r>
        <w:t xml:space="preserve"> any 24</w:t>
      </w:r>
      <w:r w:rsidR="00273097">
        <w:t>-</w:t>
      </w:r>
      <w:r>
        <w:t xml:space="preserve">hour period less than or equal to the 2-year, 24-hour precipitation event (or snowmelt of equivalent volume) may comply with the following limitations instead of those in </w:t>
      </w:r>
      <w:r w:rsidR="003561E7">
        <w:t xml:space="preserve">Section </w:t>
      </w:r>
      <w:r>
        <w:t xml:space="preserve">406.109(b): </w:t>
      </w:r>
    </w:p>
    <w:p w:rsidR="008E1B93" w:rsidRDefault="008E1B93" w:rsidP="0073474B">
      <w:pPr>
        <w:widowControl w:val="0"/>
        <w:autoSpaceDE w:val="0"/>
        <w:autoSpaceDN w:val="0"/>
        <w:adjustRightInd w:val="0"/>
      </w:pPr>
    </w:p>
    <w:tbl>
      <w:tblPr>
        <w:tblW w:w="0" w:type="auto"/>
        <w:tblInd w:w="2820" w:type="dxa"/>
        <w:tblLook w:val="0000" w:firstRow="0" w:lastRow="0" w:firstColumn="0" w:lastColumn="0" w:noHBand="0" w:noVBand="0"/>
      </w:tblPr>
      <w:tblGrid>
        <w:gridCol w:w="2508"/>
        <w:gridCol w:w="2346"/>
      </w:tblGrid>
      <w:tr w:rsidR="00EA7E26" w:rsidTr="00EA7E26">
        <w:trPr>
          <w:trHeight w:val="495"/>
        </w:trPr>
        <w:tc>
          <w:tcPr>
            <w:tcW w:w="2508" w:type="dxa"/>
          </w:tcPr>
          <w:p w:rsidR="00EA7E26" w:rsidRDefault="00EA7E26" w:rsidP="003C4D21">
            <w:pPr>
              <w:widowControl w:val="0"/>
              <w:autoSpaceDE w:val="0"/>
              <w:autoSpaceDN w:val="0"/>
              <w:adjustRightInd w:val="0"/>
            </w:pPr>
            <w:r>
              <w:t>Constituent</w:t>
            </w:r>
          </w:p>
        </w:tc>
        <w:tc>
          <w:tcPr>
            <w:tcW w:w="2346" w:type="dxa"/>
          </w:tcPr>
          <w:p w:rsidR="00EA7E26" w:rsidRDefault="00EA7E26" w:rsidP="002977F4">
            <w:pPr>
              <w:widowControl w:val="0"/>
              <w:autoSpaceDE w:val="0"/>
              <w:autoSpaceDN w:val="0"/>
              <w:adjustRightInd w:val="0"/>
              <w:ind w:left="-84" w:right="-90"/>
              <w:jc w:val="center"/>
            </w:pPr>
            <w:r>
              <w:t>Concentration</w:t>
            </w:r>
          </w:p>
        </w:tc>
      </w:tr>
      <w:tr w:rsidR="00EA7E26" w:rsidTr="00EA7E26">
        <w:trPr>
          <w:trHeight w:val="276"/>
        </w:trPr>
        <w:tc>
          <w:tcPr>
            <w:tcW w:w="2508" w:type="dxa"/>
          </w:tcPr>
          <w:p w:rsidR="00EA7E26" w:rsidRDefault="00EA7E26" w:rsidP="003C4D21">
            <w:pPr>
              <w:widowControl w:val="0"/>
              <w:autoSpaceDE w:val="0"/>
              <w:autoSpaceDN w:val="0"/>
              <w:adjustRightInd w:val="0"/>
            </w:pPr>
            <w:r>
              <w:t>Settleable solids</w:t>
            </w:r>
          </w:p>
        </w:tc>
        <w:tc>
          <w:tcPr>
            <w:tcW w:w="2346" w:type="dxa"/>
            <w:vAlign w:val="center"/>
          </w:tcPr>
          <w:p w:rsidR="00EA7E26" w:rsidRDefault="00EA7E26" w:rsidP="002977F4">
            <w:pPr>
              <w:pStyle w:val="ListBullet"/>
              <w:ind w:left="-84" w:right="-90" w:firstLine="0"/>
              <w:jc w:val="center"/>
            </w:pPr>
            <w:r>
              <w:t>0.5 ml/L</w:t>
            </w:r>
          </w:p>
        </w:tc>
      </w:tr>
      <w:tr w:rsidR="00EA7E26" w:rsidTr="00EA7E26">
        <w:trPr>
          <w:trHeight w:val="276"/>
        </w:trPr>
        <w:tc>
          <w:tcPr>
            <w:tcW w:w="2508" w:type="dxa"/>
          </w:tcPr>
          <w:p w:rsidR="00EA7E26" w:rsidRDefault="00EA7E26" w:rsidP="003C4D21">
            <w:pPr>
              <w:widowControl w:val="0"/>
              <w:autoSpaceDE w:val="0"/>
              <w:autoSpaceDN w:val="0"/>
              <w:adjustRightInd w:val="0"/>
            </w:pPr>
            <w:r>
              <w:t>Iron (total)</w:t>
            </w:r>
          </w:p>
        </w:tc>
        <w:tc>
          <w:tcPr>
            <w:tcW w:w="2346" w:type="dxa"/>
            <w:vAlign w:val="center"/>
          </w:tcPr>
          <w:p w:rsidR="00EA7E26" w:rsidRDefault="00EA7E26" w:rsidP="002977F4">
            <w:pPr>
              <w:pStyle w:val="ListBullet"/>
              <w:ind w:left="-84" w:right="-90" w:firstLine="0"/>
              <w:jc w:val="center"/>
            </w:pPr>
            <w:r>
              <w:t>3.5 mg/L</w:t>
            </w:r>
          </w:p>
        </w:tc>
      </w:tr>
      <w:tr w:rsidR="00EA7E26" w:rsidTr="00EA7E26">
        <w:trPr>
          <w:trHeight w:val="276"/>
        </w:trPr>
        <w:tc>
          <w:tcPr>
            <w:tcW w:w="2508" w:type="dxa"/>
          </w:tcPr>
          <w:p w:rsidR="00EA7E26" w:rsidRDefault="00EA7E26" w:rsidP="003C4D21">
            <w:pPr>
              <w:widowControl w:val="0"/>
              <w:autoSpaceDE w:val="0"/>
              <w:autoSpaceDN w:val="0"/>
              <w:adjustRightInd w:val="0"/>
            </w:pPr>
            <w:r>
              <w:t>pH (range)</w:t>
            </w:r>
          </w:p>
        </w:tc>
        <w:tc>
          <w:tcPr>
            <w:tcW w:w="2346" w:type="dxa"/>
            <w:vAlign w:val="center"/>
          </w:tcPr>
          <w:p w:rsidR="00EA7E26" w:rsidRDefault="00EA7E26" w:rsidP="002977F4">
            <w:pPr>
              <w:pStyle w:val="ListBullet"/>
              <w:ind w:left="-84" w:right="-90" w:firstLine="0"/>
              <w:jc w:val="center"/>
            </w:pPr>
            <w:r>
              <w:t>6-9</w:t>
            </w:r>
          </w:p>
        </w:tc>
      </w:tr>
    </w:tbl>
    <w:p w:rsidR="008E1B93" w:rsidRDefault="008E1B93" w:rsidP="0073474B">
      <w:pPr>
        <w:widowControl w:val="0"/>
        <w:autoSpaceDE w:val="0"/>
        <w:autoSpaceDN w:val="0"/>
        <w:adjustRightInd w:val="0"/>
      </w:pPr>
    </w:p>
    <w:p w:rsidR="008E1B93" w:rsidRDefault="008E1B93" w:rsidP="008E1B9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3561E7">
        <w:t>Within</w:t>
      </w:r>
      <w:r>
        <w:t xml:space="preserve"> any 24</w:t>
      </w:r>
      <w:r w:rsidR="003561E7">
        <w:t>-</w:t>
      </w:r>
      <w:r>
        <w:t xml:space="preserve">hour period greater than the 2-year, 24-hour precipitation event but less than or equal to the 10-year, 24-hour precipitation event </w:t>
      </w:r>
      <w:r w:rsidR="003561E7">
        <w:t>must comply with</w:t>
      </w:r>
      <w:r>
        <w:t xml:space="preserve"> subsection (c)(1), except for the total iron effluent standard. </w:t>
      </w:r>
    </w:p>
    <w:p w:rsidR="00713D8A" w:rsidRDefault="00713D8A" w:rsidP="0073474B">
      <w:pPr>
        <w:widowControl w:val="0"/>
        <w:autoSpaceDE w:val="0"/>
        <w:autoSpaceDN w:val="0"/>
        <w:adjustRightInd w:val="0"/>
      </w:pPr>
    </w:p>
    <w:p w:rsidR="008E1B93" w:rsidRDefault="008E1B93" w:rsidP="008E1B9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All discharges mentioned in </w:t>
      </w:r>
      <w:r w:rsidR="003561E7">
        <w:t xml:space="preserve">subsections </w:t>
      </w:r>
      <w:r>
        <w:t xml:space="preserve">(a), (b), and (c), discharges of acid or ferruginous mine drainage from underground workings </w:t>
      </w:r>
      <w:r w:rsidR="00193D62">
        <w:t>that</w:t>
      </w:r>
      <w:r>
        <w:t xml:space="preserve"> are commingled with other discharges</w:t>
      </w:r>
      <w:r w:rsidR="00193D62">
        <w:t>,</w:t>
      </w:r>
      <w:r>
        <w:t xml:space="preserve"> and controlled acid or ferruginous surface mine discharges caused by precipitation within any 24</w:t>
      </w:r>
      <w:r w:rsidR="003561E7">
        <w:t>-</w:t>
      </w:r>
      <w:r>
        <w:t xml:space="preserve">hour period greater than the 10-year, 24-hour precipitation event (or snowmelt of equivalent volume) </w:t>
      </w:r>
      <w:r w:rsidR="003561E7">
        <w:t>are</w:t>
      </w:r>
      <w:r>
        <w:t xml:space="preserve"> subject only to a pH limitation range </w:t>
      </w:r>
      <w:r w:rsidR="00901C4A">
        <w:t xml:space="preserve">of </w:t>
      </w:r>
      <w:r>
        <w:t xml:space="preserve">6-9. </w:t>
      </w:r>
    </w:p>
    <w:p w:rsidR="008E1B93" w:rsidRDefault="008E1B93" w:rsidP="007347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1B93" w:rsidRDefault="003561E7" w:rsidP="008E1B9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982624">
        <w:t>11620</w:t>
      </w:r>
      <w:r>
        <w:t xml:space="preserve">, effective </w:t>
      </w:r>
      <w:r w:rsidR="00982624">
        <w:t>September 25, 2019</w:t>
      </w:r>
      <w:r>
        <w:t>)</w:t>
      </w:r>
    </w:p>
    <w:sectPr w:rsidR="008E1B93" w:rsidSect="008E1B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81E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1B93"/>
    <w:rsid w:val="000A3526"/>
    <w:rsid w:val="00120CBB"/>
    <w:rsid w:val="00193D62"/>
    <w:rsid w:val="00273097"/>
    <w:rsid w:val="002977F4"/>
    <w:rsid w:val="00321C4C"/>
    <w:rsid w:val="003561E7"/>
    <w:rsid w:val="00363388"/>
    <w:rsid w:val="003C4D21"/>
    <w:rsid w:val="005636A9"/>
    <w:rsid w:val="005C3366"/>
    <w:rsid w:val="006C1AC7"/>
    <w:rsid w:val="00713D8A"/>
    <w:rsid w:val="0073474B"/>
    <w:rsid w:val="008E1B93"/>
    <w:rsid w:val="00901C4A"/>
    <w:rsid w:val="00944524"/>
    <w:rsid w:val="00982624"/>
    <w:rsid w:val="00A20163"/>
    <w:rsid w:val="00A607F6"/>
    <w:rsid w:val="00A666ED"/>
    <w:rsid w:val="00C6193C"/>
    <w:rsid w:val="00E15704"/>
    <w:rsid w:val="00EA7E26"/>
    <w:rsid w:val="00F4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9122219-5981-4F4C-8ED0-320F8101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A607F6"/>
    <w:pPr>
      <w:ind w:left="366" w:firstLine="3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406</vt:lpstr>
    </vt:vector>
  </TitlesOfParts>
  <Company>General Assembly</Company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406</dc:title>
  <dc:subject/>
  <dc:creator>Illinois General Assembly</dc:creator>
  <cp:keywords/>
  <dc:description/>
  <cp:lastModifiedBy>Lane, Arlene L.</cp:lastModifiedBy>
  <cp:revision>5</cp:revision>
  <dcterms:created xsi:type="dcterms:W3CDTF">2019-09-25T17:11:00Z</dcterms:created>
  <dcterms:modified xsi:type="dcterms:W3CDTF">2019-10-08T21:05:00Z</dcterms:modified>
</cp:coreProperties>
</file>