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0F" w:rsidRDefault="0020700F" w:rsidP="002070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700F" w:rsidRDefault="0020700F" w:rsidP="0020700F">
      <w:pPr>
        <w:widowControl w:val="0"/>
        <w:autoSpaceDE w:val="0"/>
        <w:autoSpaceDN w:val="0"/>
        <w:adjustRightInd w:val="0"/>
      </w:pPr>
      <w:r>
        <w:t>SOURCE:  Adopted at 18 Ill. Reg. 9470,  effective June 9, 1994; amended at 21 Ill. Reg. 10057, effective June 17, 1997; amended at 24 Ill. Reg. 12</w:t>
      </w:r>
      <w:r w:rsidR="00C71665">
        <w:t xml:space="preserve">570, effective August 7, 2000. </w:t>
      </w:r>
    </w:p>
    <w:sectPr w:rsidR="0020700F" w:rsidSect="002070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700F"/>
    <w:rsid w:val="001A4D35"/>
    <w:rsid w:val="0020700F"/>
    <w:rsid w:val="005C3366"/>
    <w:rsid w:val="008B425F"/>
    <w:rsid w:val="00A959D8"/>
    <w:rsid w:val="00C7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18 Ill</vt:lpstr>
    </vt:vector>
  </TitlesOfParts>
  <Company>State of Illinois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18 Ill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