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FE2" w:rsidRDefault="00B52FE2" w:rsidP="00B52FE2">
      <w:pPr>
        <w:widowControl w:val="0"/>
        <w:autoSpaceDE w:val="0"/>
        <w:autoSpaceDN w:val="0"/>
        <w:adjustRightInd w:val="0"/>
      </w:pPr>
      <w:bookmarkStart w:id="0" w:name="_GoBack"/>
      <w:bookmarkEnd w:id="0"/>
    </w:p>
    <w:p w:rsidR="00B52FE2" w:rsidRDefault="00B52FE2" w:rsidP="00B52FE2">
      <w:pPr>
        <w:widowControl w:val="0"/>
        <w:autoSpaceDE w:val="0"/>
        <w:autoSpaceDN w:val="0"/>
        <w:adjustRightInd w:val="0"/>
      </w:pPr>
      <w:r>
        <w:rPr>
          <w:b/>
          <w:bCs/>
        </w:rPr>
        <w:t>Section 391.420</w:t>
      </w:r>
      <w:r w:rsidR="00DD0CFA">
        <w:rPr>
          <w:b/>
          <w:bCs/>
        </w:rPr>
        <w:t xml:space="preserve"> </w:t>
      </w:r>
      <w:r>
        <w:rPr>
          <w:b/>
          <w:bCs/>
        </w:rPr>
        <w:t xml:space="preserve">  Heavy Metal Loading</w:t>
      </w:r>
      <w:r>
        <w:t xml:space="preserve"> </w:t>
      </w:r>
    </w:p>
    <w:p w:rsidR="00B52FE2" w:rsidRDefault="00B52FE2" w:rsidP="00B52FE2">
      <w:pPr>
        <w:widowControl w:val="0"/>
        <w:autoSpaceDE w:val="0"/>
        <w:autoSpaceDN w:val="0"/>
        <w:adjustRightInd w:val="0"/>
      </w:pPr>
    </w:p>
    <w:p w:rsidR="00B52FE2" w:rsidRDefault="00B52FE2" w:rsidP="00B52FE2">
      <w:pPr>
        <w:widowControl w:val="0"/>
        <w:autoSpaceDE w:val="0"/>
        <w:autoSpaceDN w:val="0"/>
        <w:adjustRightInd w:val="0"/>
        <w:ind w:left="1440" w:hanging="720"/>
      </w:pPr>
      <w:r>
        <w:t>a)</w:t>
      </w:r>
      <w:r>
        <w:tab/>
        <w:t xml:space="preserve">Heavy metal loading rates on sludge application projects are limited to prevent significant increases of heavy metals in the food chain, </w:t>
      </w:r>
      <w:proofErr w:type="spellStart"/>
      <w:r>
        <w:t>phytotoxicity</w:t>
      </w:r>
      <w:proofErr w:type="spellEnd"/>
      <w:r>
        <w:t xml:space="preserve"> and water pollution.  Generators shall sample their sludge for metals in accordance with Subpart E and accordingly limit annual and total cumulative sludge application rates. </w:t>
      </w:r>
    </w:p>
    <w:p w:rsidR="00C51D4A" w:rsidRDefault="00C51D4A" w:rsidP="00B52FE2">
      <w:pPr>
        <w:widowControl w:val="0"/>
        <w:autoSpaceDE w:val="0"/>
        <w:autoSpaceDN w:val="0"/>
        <w:adjustRightInd w:val="0"/>
        <w:ind w:left="1440" w:hanging="720"/>
      </w:pPr>
    </w:p>
    <w:p w:rsidR="00B52FE2" w:rsidRDefault="00B52FE2" w:rsidP="00B52FE2">
      <w:pPr>
        <w:widowControl w:val="0"/>
        <w:autoSpaceDE w:val="0"/>
        <w:autoSpaceDN w:val="0"/>
        <w:adjustRightInd w:val="0"/>
        <w:ind w:left="1440" w:hanging="720"/>
      </w:pPr>
      <w:r>
        <w:t>b)</w:t>
      </w:r>
      <w:r>
        <w:tab/>
        <w:t xml:space="preserve">Sites which have a lifetime of sludge application less than 5 years due to metal loading rates in Subsection c below shall be identified in a permit application.  The Agency shall not issue a permit for sludge application on such sites unless the following items are considered in the application: </w:t>
      </w:r>
    </w:p>
    <w:p w:rsidR="00C51D4A" w:rsidRDefault="00C51D4A" w:rsidP="00B52FE2">
      <w:pPr>
        <w:widowControl w:val="0"/>
        <w:autoSpaceDE w:val="0"/>
        <w:autoSpaceDN w:val="0"/>
        <w:adjustRightInd w:val="0"/>
        <w:ind w:left="2160" w:hanging="720"/>
      </w:pPr>
    </w:p>
    <w:p w:rsidR="00B52FE2" w:rsidRDefault="00B52FE2" w:rsidP="00B52FE2">
      <w:pPr>
        <w:widowControl w:val="0"/>
        <w:autoSpaceDE w:val="0"/>
        <w:autoSpaceDN w:val="0"/>
        <w:adjustRightInd w:val="0"/>
        <w:ind w:left="2160" w:hanging="720"/>
      </w:pPr>
      <w:r>
        <w:t>1)</w:t>
      </w:r>
      <w:r>
        <w:tab/>
        <w:t xml:space="preserve">Groundwater monitoring; </w:t>
      </w:r>
    </w:p>
    <w:p w:rsidR="00C51D4A" w:rsidRDefault="00C51D4A" w:rsidP="00B52FE2">
      <w:pPr>
        <w:widowControl w:val="0"/>
        <w:autoSpaceDE w:val="0"/>
        <w:autoSpaceDN w:val="0"/>
        <w:adjustRightInd w:val="0"/>
        <w:ind w:left="2160" w:hanging="720"/>
      </w:pPr>
    </w:p>
    <w:p w:rsidR="00B52FE2" w:rsidRDefault="00B52FE2" w:rsidP="00B52FE2">
      <w:pPr>
        <w:widowControl w:val="0"/>
        <w:autoSpaceDE w:val="0"/>
        <w:autoSpaceDN w:val="0"/>
        <w:adjustRightInd w:val="0"/>
        <w:ind w:left="2160" w:hanging="720"/>
      </w:pPr>
      <w:r>
        <w:t>2)</w:t>
      </w:r>
      <w:r>
        <w:tab/>
        <w:t xml:space="preserve">Soil monitoring; </w:t>
      </w:r>
    </w:p>
    <w:p w:rsidR="00C51D4A" w:rsidRDefault="00C51D4A" w:rsidP="00B52FE2">
      <w:pPr>
        <w:widowControl w:val="0"/>
        <w:autoSpaceDE w:val="0"/>
        <w:autoSpaceDN w:val="0"/>
        <w:adjustRightInd w:val="0"/>
        <w:ind w:left="2160" w:hanging="720"/>
      </w:pPr>
    </w:p>
    <w:p w:rsidR="00B52FE2" w:rsidRDefault="00B52FE2" w:rsidP="00B52FE2">
      <w:pPr>
        <w:widowControl w:val="0"/>
        <w:autoSpaceDE w:val="0"/>
        <w:autoSpaceDN w:val="0"/>
        <w:adjustRightInd w:val="0"/>
        <w:ind w:left="2160" w:hanging="720"/>
      </w:pPr>
      <w:r>
        <w:t>3)</w:t>
      </w:r>
      <w:r>
        <w:tab/>
        <w:t xml:space="preserve">Plant tissue sampling and analyses; </w:t>
      </w:r>
    </w:p>
    <w:p w:rsidR="00C51D4A" w:rsidRDefault="00C51D4A" w:rsidP="00B52FE2">
      <w:pPr>
        <w:widowControl w:val="0"/>
        <w:autoSpaceDE w:val="0"/>
        <w:autoSpaceDN w:val="0"/>
        <w:adjustRightInd w:val="0"/>
        <w:ind w:left="2160" w:hanging="720"/>
      </w:pPr>
    </w:p>
    <w:p w:rsidR="00B52FE2" w:rsidRDefault="00B52FE2" w:rsidP="00B52FE2">
      <w:pPr>
        <w:widowControl w:val="0"/>
        <w:autoSpaceDE w:val="0"/>
        <w:autoSpaceDN w:val="0"/>
        <w:adjustRightInd w:val="0"/>
        <w:ind w:left="2160" w:hanging="720"/>
      </w:pPr>
      <w:r>
        <w:t>4)</w:t>
      </w:r>
      <w:r>
        <w:tab/>
        <w:t xml:space="preserve">Additional operational controls. </w:t>
      </w:r>
    </w:p>
    <w:p w:rsidR="00C51D4A" w:rsidRDefault="00C51D4A" w:rsidP="00DD0CFA">
      <w:pPr>
        <w:widowControl w:val="0"/>
        <w:autoSpaceDE w:val="0"/>
        <w:autoSpaceDN w:val="0"/>
        <w:adjustRightInd w:val="0"/>
        <w:ind w:left="1440" w:hanging="720"/>
      </w:pPr>
    </w:p>
    <w:p w:rsidR="00DD0CFA" w:rsidRDefault="00B52FE2" w:rsidP="00DD0CFA">
      <w:pPr>
        <w:widowControl w:val="0"/>
        <w:autoSpaceDE w:val="0"/>
        <w:autoSpaceDN w:val="0"/>
        <w:adjustRightInd w:val="0"/>
        <w:ind w:left="1440" w:hanging="720"/>
      </w:pPr>
      <w:r>
        <w:t>c)</w:t>
      </w:r>
      <w:r>
        <w:tab/>
        <w:t xml:space="preserve">Soil </w:t>
      </w:r>
      <w:proofErr w:type="spellStart"/>
      <w:r>
        <w:t>cation</w:t>
      </w:r>
      <w:proofErr w:type="spellEnd"/>
      <w:r>
        <w:t xml:space="preserve"> exchange capacity (CEC) plays a major role in enabling the soil to retain the heavy metals contained in the sludge.  Soils having a CEC in the range from 5 to 15 meq/100gm are acceptable for sludge utilization providing sludge application rates do not result in heavy metals being applied to land in excess of those amounts listed in Table II below.</w:t>
      </w:r>
    </w:p>
    <w:p w:rsidR="00DD0CFA" w:rsidRDefault="00DD0CFA" w:rsidP="00DD0CFA">
      <w:pPr>
        <w:widowControl w:val="0"/>
        <w:autoSpaceDE w:val="0"/>
        <w:autoSpaceDN w:val="0"/>
        <w:adjustRightInd w:val="0"/>
        <w:ind w:left="1440" w:hanging="720"/>
      </w:pPr>
    </w:p>
    <w:tbl>
      <w:tblPr>
        <w:tblW w:w="0" w:type="auto"/>
        <w:tblInd w:w="2274" w:type="dxa"/>
        <w:tblLayout w:type="fixed"/>
        <w:tblLook w:val="0000" w:firstRow="0" w:lastRow="0" w:firstColumn="0" w:lastColumn="0" w:noHBand="0" w:noVBand="0"/>
      </w:tblPr>
      <w:tblGrid>
        <w:gridCol w:w="2185"/>
        <w:gridCol w:w="2185"/>
        <w:gridCol w:w="2185"/>
      </w:tblGrid>
      <w:tr w:rsidR="00DD0CFA" w:rsidRPr="00DD0CFA">
        <w:tblPrEx>
          <w:tblCellMar>
            <w:top w:w="0" w:type="dxa"/>
            <w:bottom w:w="0" w:type="dxa"/>
          </w:tblCellMar>
        </w:tblPrEx>
        <w:tc>
          <w:tcPr>
            <w:tcW w:w="6555" w:type="dxa"/>
            <w:gridSpan w:val="3"/>
          </w:tcPr>
          <w:p w:rsidR="00DD0CFA" w:rsidRPr="00DD0CFA" w:rsidRDefault="00DD0CFA" w:rsidP="00F96E00">
            <w:pPr>
              <w:widowControl w:val="0"/>
              <w:autoSpaceDE w:val="0"/>
              <w:autoSpaceDN w:val="0"/>
              <w:adjustRightInd w:val="0"/>
              <w:ind w:left="-108" w:right="-108"/>
              <w:jc w:val="center"/>
            </w:pPr>
            <w:r>
              <w:t>TABLE II</w:t>
            </w:r>
          </w:p>
        </w:tc>
      </w:tr>
      <w:tr w:rsidR="00994F56" w:rsidRPr="00DD0CFA">
        <w:tblPrEx>
          <w:tblCellMar>
            <w:top w:w="0" w:type="dxa"/>
            <w:bottom w:w="0" w:type="dxa"/>
          </w:tblCellMar>
        </w:tblPrEx>
        <w:tc>
          <w:tcPr>
            <w:tcW w:w="6555" w:type="dxa"/>
            <w:gridSpan w:val="3"/>
          </w:tcPr>
          <w:p w:rsidR="00994F56" w:rsidRDefault="00994F56" w:rsidP="00DD0CFA">
            <w:pPr>
              <w:widowControl w:val="0"/>
              <w:autoSpaceDE w:val="0"/>
              <w:autoSpaceDN w:val="0"/>
              <w:adjustRightInd w:val="0"/>
              <w:ind w:left="1440" w:hanging="720"/>
              <w:jc w:val="center"/>
            </w:pPr>
          </w:p>
        </w:tc>
      </w:tr>
      <w:tr w:rsidR="00DD0CFA" w:rsidRPr="00DD0CFA">
        <w:tblPrEx>
          <w:tblCellMar>
            <w:top w:w="0" w:type="dxa"/>
            <w:bottom w:w="0" w:type="dxa"/>
          </w:tblCellMar>
        </w:tblPrEx>
        <w:tc>
          <w:tcPr>
            <w:tcW w:w="6555" w:type="dxa"/>
            <w:gridSpan w:val="3"/>
          </w:tcPr>
          <w:p w:rsidR="00DD0CFA" w:rsidRDefault="00DD0CFA" w:rsidP="00F96E00">
            <w:pPr>
              <w:widowControl w:val="0"/>
              <w:autoSpaceDE w:val="0"/>
              <w:autoSpaceDN w:val="0"/>
              <w:adjustRightInd w:val="0"/>
              <w:ind w:left="-108" w:right="-108"/>
              <w:jc w:val="center"/>
            </w:pPr>
            <w:r>
              <w:t>MAXIMUM ACCEPTABLE HEAVY</w:t>
            </w:r>
          </w:p>
          <w:p w:rsidR="00DD0CFA" w:rsidRDefault="00DD0CFA" w:rsidP="00F96E00">
            <w:pPr>
              <w:widowControl w:val="0"/>
              <w:autoSpaceDE w:val="0"/>
              <w:autoSpaceDN w:val="0"/>
              <w:adjustRightInd w:val="0"/>
              <w:ind w:left="-108" w:right="-108"/>
              <w:jc w:val="center"/>
            </w:pPr>
            <w:r>
              <w:t>METAL LOADING RATES OVER</w:t>
            </w:r>
          </w:p>
          <w:p w:rsidR="00DD0CFA" w:rsidRDefault="00DD0CFA" w:rsidP="00F96E00">
            <w:pPr>
              <w:widowControl w:val="0"/>
              <w:autoSpaceDE w:val="0"/>
              <w:autoSpaceDN w:val="0"/>
              <w:adjustRightInd w:val="0"/>
              <w:ind w:left="-108" w:right="-108"/>
              <w:jc w:val="center"/>
            </w:pPr>
            <w:r>
              <w:t>THE LIFE OF A PROJECT SITE</w:t>
            </w:r>
          </w:p>
          <w:p w:rsidR="00DD0CFA" w:rsidRDefault="00DD0CFA" w:rsidP="00F96E00">
            <w:pPr>
              <w:widowControl w:val="0"/>
              <w:autoSpaceDE w:val="0"/>
              <w:autoSpaceDN w:val="0"/>
              <w:adjustRightInd w:val="0"/>
              <w:ind w:left="-108" w:right="-108"/>
              <w:jc w:val="center"/>
            </w:pPr>
            <w:r>
              <w:t>(pounds per acre)</w:t>
            </w:r>
          </w:p>
          <w:p w:rsidR="00DD0CFA" w:rsidRPr="00DD0CFA" w:rsidRDefault="00DD0CFA" w:rsidP="00F96E00">
            <w:pPr>
              <w:widowControl w:val="0"/>
              <w:autoSpaceDE w:val="0"/>
              <w:autoSpaceDN w:val="0"/>
              <w:adjustRightInd w:val="0"/>
              <w:ind w:left="-108" w:right="-108"/>
              <w:jc w:val="center"/>
            </w:pPr>
          </w:p>
        </w:tc>
      </w:tr>
      <w:tr w:rsidR="00DD0CFA" w:rsidRPr="00DD0CFA">
        <w:tblPrEx>
          <w:tblCellMar>
            <w:top w:w="0" w:type="dxa"/>
            <w:bottom w:w="0" w:type="dxa"/>
          </w:tblCellMar>
        </w:tblPrEx>
        <w:tc>
          <w:tcPr>
            <w:tcW w:w="2185" w:type="dxa"/>
            <w:tcBorders>
              <w:bottom w:val="single" w:sz="4" w:space="0" w:color="auto"/>
            </w:tcBorders>
          </w:tcPr>
          <w:p w:rsidR="00DD0CFA" w:rsidRPr="00DD0CFA" w:rsidRDefault="00DD0CFA" w:rsidP="00F96E00">
            <w:pPr>
              <w:widowControl w:val="0"/>
              <w:autoSpaceDE w:val="0"/>
              <w:autoSpaceDN w:val="0"/>
              <w:adjustRightInd w:val="0"/>
              <w:ind w:left="519"/>
            </w:pPr>
            <w:r w:rsidRPr="00DD0CFA">
              <w:t>Metal</w:t>
            </w:r>
          </w:p>
        </w:tc>
        <w:tc>
          <w:tcPr>
            <w:tcW w:w="2185" w:type="dxa"/>
            <w:tcBorders>
              <w:bottom w:val="single" w:sz="4" w:space="0" w:color="auto"/>
            </w:tcBorders>
          </w:tcPr>
          <w:p w:rsidR="00DD0CFA" w:rsidRPr="00DD0CFA" w:rsidRDefault="00DD0CFA" w:rsidP="00F96E00">
            <w:pPr>
              <w:widowControl w:val="0"/>
              <w:autoSpaceDE w:val="0"/>
              <w:autoSpaceDN w:val="0"/>
              <w:adjustRightInd w:val="0"/>
              <w:jc w:val="center"/>
            </w:pPr>
            <w:r w:rsidRPr="00DD0CFA">
              <w:t>Total</w:t>
            </w:r>
          </w:p>
        </w:tc>
        <w:tc>
          <w:tcPr>
            <w:tcW w:w="2185" w:type="dxa"/>
            <w:tcBorders>
              <w:bottom w:val="single" w:sz="4" w:space="0" w:color="auto"/>
            </w:tcBorders>
          </w:tcPr>
          <w:p w:rsidR="00DD0CFA" w:rsidRPr="00DD0CFA" w:rsidRDefault="00DD0CFA" w:rsidP="00F96E00">
            <w:pPr>
              <w:widowControl w:val="0"/>
              <w:autoSpaceDE w:val="0"/>
              <w:autoSpaceDN w:val="0"/>
              <w:adjustRightInd w:val="0"/>
              <w:jc w:val="center"/>
            </w:pPr>
            <w:r w:rsidRPr="00DD0CFA">
              <w:t>Annual</w:t>
            </w:r>
          </w:p>
        </w:tc>
      </w:tr>
      <w:tr w:rsidR="00DD0CFA" w:rsidRPr="00DD0CFA">
        <w:tblPrEx>
          <w:tblCellMar>
            <w:top w:w="0" w:type="dxa"/>
            <w:bottom w:w="0" w:type="dxa"/>
          </w:tblCellMar>
        </w:tblPrEx>
        <w:tc>
          <w:tcPr>
            <w:tcW w:w="2185" w:type="dxa"/>
            <w:tcBorders>
              <w:top w:val="single" w:sz="4" w:space="0" w:color="auto"/>
            </w:tcBorders>
          </w:tcPr>
          <w:p w:rsidR="00DD0CFA" w:rsidRPr="00DD0CFA" w:rsidRDefault="00DD0CFA" w:rsidP="00F96E00">
            <w:pPr>
              <w:widowControl w:val="0"/>
              <w:autoSpaceDE w:val="0"/>
              <w:autoSpaceDN w:val="0"/>
              <w:adjustRightInd w:val="0"/>
              <w:ind w:left="519"/>
            </w:pPr>
          </w:p>
        </w:tc>
        <w:tc>
          <w:tcPr>
            <w:tcW w:w="2185" w:type="dxa"/>
            <w:tcBorders>
              <w:top w:val="single" w:sz="4" w:space="0" w:color="auto"/>
            </w:tcBorders>
          </w:tcPr>
          <w:p w:rsidR="00DD0CFA" w:rsidRPr="00DD0CFA" w:rsidRDefault="00DD0CFA" w:rsidP="00D136FC">
            <w:pPr>
              <w:widowControl w:val="0"/>
              <w:autoSpaceDE w:val="0"/>
              <w:autoSpaceDN w:val="0"/>
              <w:adjustRightInd w:val="0"/>
            </w:pPr>
          </w:p>
        </w:tc>
        <w:tc>
          <w:tcPr>
            <w:tcW w:w="2185" w:type="dxa"/>
            <w:tcBorders>
              <w:top w:val="single" w:sz="4" w:space="0" w:color="auto"/>
            </w:tcBorders>
          </w:tcPr>
          <w:p w:rsidR="00DD0CFA" w:rsidRPr="00DD0CFA" w:rsidRDefault="00DD0CFA" w:rsidP="00D136FC">
            <w:pPr>
              <w:widowControl w:val="0"/>
              <w:autoSpaceDE w:val="0"/>
              <w:autoSpaceDN w:val="0"/>
              <w:adjustRightInd w:val="0"/>
            </w:pPr>
          </w:p>
        </w:tc>
      </w:tr>
      <w:tr w:rsidR="00DD0CFA" w:rsidRPr="00DD0CFA">
        <w:tblPrEx>
          <w:tblCellMar>
            <w:top w:w="0" w:type="dxa"/>
            <w:bottom w:w="0" w:type="dxa"/>
          </w:tblCellMar>
        </w:tblPrEx>
        <w:tc>
          <w:tcPr>
            <w:tcW w:w="2185" w:type="dxa"/>
          </w:tcPr>
          <w:p w:rsidR="00DD0CFA" w:rsidRPr="00DD0CFA" w:rsidRDefault="00DD0CFA" w:rsidP="00F96E00">
            <w:pPr>
              <w:widowControl w:val="0"/>
              <w:autoSpaceDE w:val="0"/>
              <w:autoSpaceDN w:val="0"/>
              <w:adjustRightInd w:val="0"/>
              <w:ind w:left="519"/>
            </w:pPr>
            <w:proofErr w:type="spellStart"/>
            <w:r w:rsidRPr="00DD0CFA">
              <w:t>Pb</w:t>
            </w:r>
            <w:proofErr w:type="spellEnd"/>
          </w:p>
        </w:tc>
        <w:tc>
          <w:tcPr>
            <w:tcW w:w="2185" w:type="dxa"/>
          </w:tcPr>
          <w:p w:rsidR="00DD0CFA" w:rsidRPr="00DD0CFA" w:rsidRDefault="00DD0CFA" w:rsidP="00F96E00">
            <w:pPr>
              <w:widowControl w:val="0"/>
              <w:autoSpaceDE w:val="0"/>
              <w:autoSpaceDN w:val="0"/>
              <w:adjustRightInd w:val="0"/>
              <w:ind w:left="-70" w:right="785"/>
              <w:jc w:val="right"/>
            </w:pPr>
            <w:r w:rsidRPr="00DD0CFA">
              <w:t>1000</w:t>
            </w:r>
          </w:p>
        </w:tc>
        <w:tc>
          <w:tcPr>
            <w:tcW w:w="2185" w:type="dxa"/>
          </w:tcPr>
          <w:p w:rsidR="00DD0CFA" w:rsidRPr="00DD0CFA" w:rsidRDefault="00DD0CFA" w:rsidP="002851B7">
            <w:pPr>
              <w:widowControl w:val="0"/>
              <w:autoSpaceDE w:val="0"/>
              <w:autoSpaceDN w:val="0"/>
              <w:adjustRightInd w:val="0"/>
              <w:jc w:val="center"/>
            </w:pPr>
            <w:r>
              <w:t>–</w:t>
            </w:r>
          </w:p>
        </w:tc>
      </w:tr>
      <w:tr w:rsidR="00DD0CFA" w:rsidRPr="00DD0CFA">
        <w:tblPrEx>
          <w:tblCellMar>
            <w:top w:w="0" w:type="dxa"/>
            <w:bottom w:w="0" w:type="dxa"/>
          </w:tblCellMar>
        </w:tblPrEx>
        <w:tc>
          <w:tcPr>
            <w:tcW w:w="2185" w:type="dxa"/>
          </w:tcPr>
          <w:p w:rsidR="00DD0CFA" w:rsidRPr="00DD0CFA" w:rsidRDefault="00DD0CFA" w:rsidP="00F96E00">
            <w:pPr>
              <w:widowControl w:val="0"/>
              <w:autoSpaceDE w:val="0"/>
              <w:autoSpaceDN w:val="0"/>
              <w:adjustRightInd w:val="0"/>
              <w:ind w:left="519"/>
            </w:pPr>
            <w:proofErr w:type="spellStart"/>
            <w:r w:rsidRPr="00DD0CFA">
              <w:t>Mn</w:t>
            </w:r>
            <w:proofErr w:type="spellEnd"/>
          </w:p>
        </w:tc>
        <w:tc>
          <w:tcPr>
            <w:tcW w:w="2185" w:type="dxa"/>
          </w:tcPr>
          <w:p w:rsidR="00DD0CFA" w:rsidRPr="00DD0CFA" w:rsidRDefault="00DD0CFA" w:rsidP="00F96E00">
            <w:pPr>
              <w:widowControl w:val="0"/>
              <w:autoSpaceDE w:val="0"/>
              <w:autoSpaceDN w:val="0"/>
              <w:adjustRightInd w:val="0"/>
              <w:ind w:left="-70" w:right="785"/>
              <w:jc w:val="right"/>
            </w:pPr>
            <w:r w:rsidRPr="00DD0CFA">
              <w:t>900</w:t>
            </w:r>
          </w:p>
        </w:tc>
        <w:tc>
          <w:tcPr>
            <w:tcW w:w="2185" w:type="dxa"/>
          </w:tcPr>
          <w:p w:rsidR="00DD0CFA" w:rsidRPr="00DD0CFA" w:rsidRDefault="00DD0CFA" w:rsidP="002851B7">
            <w:pPr>
              <w:widowControl w:val="0"/>
              <w:autoSpaceDE w:val="0"/>
              <w:autoSpaceDN w:val="0"/>
              <w:adjustRightInd w:val="0"/>
              <w:jc w:val="center"/>
            </w:pPr>
            <w:r>
              <w:t>–</w:t>
            </w:r>
          </w:p>
        </w:tc>
      </w:tr>
      <w:tr w:rsidR="00DD0CFA" w:rsidRPr="00DD0CFA">
        <w:tblPrEx>
          <w:tblCellMar>
            <w:top w:w="0" w:type="dxa"/>
            <w:bottom w:w="0" w:type="dxa"/>
          </w:tblCellMar>
        </w:tblPrEx>
        <w:tc>
          <w:tcPr>
            <w:tcW w:w="2185" w:type="dxa"/>
          </w:tcPr>
          <w:p w:rsidR="00DD0CFA" w:rsidRPr="00DD0CFA" w:rsidRDefault="00DD0CFA" w:rsidP="00F96E00">
            <w:pPr>
              <w:widowControl w:val="0"/>
              <w:autoSpaceDE w:val="0"/>
              <w:autoSpaceDN w:val="0"/>
              <w:adjustRightInd w:val="0"/>
              <w:ind w:left="519"/>
            </w:pPr>
            <w:r w:rsidRPr="00DD0CFA">
              <w:t>Zn</w:t>
            </w:r>
          </w:p>
        </w:tc>
        <w:tc>
          <w:tcPr>
            <w:tcW w:w="2185" w:type="dxa"/>
          </w:tcPr>
          <w:p w:rsidR="00DD0CFA" w:rsidRPr="00DD0CFA" w:rsidRDefault="00DD0CFA" w:rsidP="00F96E00">
            <w:pPr>
              <w:widowControl w:val="0"/>
              <w:autoSpaceDE w:val="0"/>
              <w:autoSpaceDN w:val="0"/>
              <w:adjustRightInd w:val="0"/>
              <w:ind w:left="-70" w:right="785"/>
              <w:jc w:val="right"/>
            </w:pPr>
            <w:r w:rsidRPr="00DD0CFA">
              <w:t>500</w:t>
            </w:r>
          </w:p>
        </w:tc>
        <w:tc>
          <w:tcPr>
            <w:tcW w:w="2185" w:type="dxa"/>
          </w:tcPr>
          <w:p w:rsidR="00DD0CFA" w:rsidRPr="00DD0CFA" w:rsidRDefault="00DD0CFA" w:rsidP="002851B7">
            <w:pPr>
              <w:widowControl w:val="0"/>
              <w:autoSpaceDE w:val="0"/>
              <w:autoSpaceDN w:val="0"/>
              <w:adjustRightInd w:val="0"/>
              <w:jc w:val="center"/>
            </w:pPr>
            <w:r>
              <w:t>–</w:t>
            </w:r>
          </w:p>
        </w:tc>
      </w:tr>
      <w:tr w:rsidR="00DD0CFA" w:rsidRPr="00DD0CFA">
        <w:tblPrEx>
          <w:tblCellMar>
            <w:top w:w="0" w:type="dxa"/>
            <w:bottom w:w="0" w:type="dxa"/>
          </w:tblCellMar>
        </w:tblPrEx>
        <w:tc>
          <w:tcPr>
            <w:tcW w:w="2185" w:type="dxa"/>
          </w:tcPr>
          <w:p w:rsidR="00DD0CFA" w:rsidRPr="00DD0CFA" w:rsidRDefault="00DD0CFA" w:rsidP="00F96E00">
            <w:pPr>
              <w:widowControl w:val="0"/>
              <w:autoSpaceDE w:val="0"/>
              <w:autoSpaceDN w:val="0"/>
              <w:adjustRightInd w:val="0"/>
              <w:ind w:left="519"/>
            </w:pPr>
            <w:r w:rsidRPr="00DD0CFA">
              <w:t>Cu</w:t>
            </w:r>
          </w:p>
        </w:tc>
        <w:tc>
          <w:tcPr>
            <w:tcW w:w="2185" w:type="dxa"/>
          </w:tcPr>
          <w:p w:rsidR="00DD0CFA" w:rsidRPr="00DD0CFA" w:rsidRDefault="00DD0CFA" w:rsidP="00F96E00">
            <w:pPr>
              <w:widowControl w:val="0"/>
              <w:autoSpaceDE w:val="0"/>
              <w:autoSpaceDN w:val="0"/>
              <w:adjustRightInd w:val="0"/>
              <w:ind w:left="-70" w:right="785"/>
              <w:jc w:val="right"/>
            </w:pPr>
            <w:r w:rsidRPr="00DD0CFA">
              <w:t>250</w:t>
            </w:r>
          </w:p>
        </w:tc>
        <w:tc>
          <w:tcPr>
            <w:tcW w:w="2185" w:type="dxa"/>
          </w:tcPr>
          <w:p w:rsidR="00DD0CFA" w:rsidRPr="00DD0CFA" w:rsidRDefault="00DD0CFA" w:rsidP="002851B7">
            <w:pPr>
              <w:widowControl w:val="0"/>
              <w:autoSpaceDE w:val="0"/>
              <w:autoSpaceDN w:val="0"/>
              <w:adjustRightInd w:val="0"/>
              <w:jc w:val="center"/>
            </w:pPr>
            <w:r>
              <w:t>–</w:t>
            </w:r>
          </w:p>
        </w:tc>
      </w:tr>
      <w:tr w:rsidR="00DD0CFA" w:rsidRPr="00DD0CFA">
        <w:tblPrEx>
          <w:tblCellMar>
            <w:top w:w="0" w:type="dxa"/>
            <w:bottom w:w="0" w:type="dxa"/>
          </w:tblCellMar>
        </w:tblPrEx>
        <w:tc>
          <w:tcPr>
            <w:tcW w:w="2185" w:type="dxa"/>
          </w:tcPr>
          <w:p w:rsidR="00DD0CFA" w:rsidRPr="00DD0CFA" w:rsidRDefault="00DD0CFA" w:rsidP="00F96E00">
            <w:pPr>
              <w:widowControl w:val="0"/>
              <w:autoSpaceDE w:val="0"/>
              <w:autoSpaceDN w:val="0"/>
              <w:adjustRightInd w:val="0"/>
              <w:ind w:left="519"/>
            </w:pPr>
            <w:r w:rsidRPr="00DD0CFA">
              <w:t>Ni</w:t>
            </w:r>
          </w:p>
        </w:tc>
        <w:tc>
          <w:tcPr>
            <w:tcW w:w="2185" w:type="dxa"/>
          </w:tcPr>
          <w:p w:rsidR="00DD0CFA" w:rsidRPr="00DD0CFA" w:rsidRDefault="00DD0CFA" w:rsidP="00F96E00">
            <w:pPr>
              <w:widowControl w:val="0"/>
              <w:autoSpaceDE w:val="0"/>
              <w:autoSpaceDN w:val="0"/>
              <w:adjustRightInd w:val="0"/>
              <w:ind w:left="-70" w:right="785"/>
              <w:jc w:val="right"/>
            </w:pPr>
            <w:r w:rsidRPr="00DD0CFA">
              <w:t>100</w:t>
            </w:r>
          </w:p>
        </w:tc>
        <w:tc>
          <w:tcPr>
            <w:tcW w:w="2185" w:type="dxa"/>
          </w:tcPr>
          <w:p w:rsidR="00DD0CFA" w:rsidRPr="00DD0CFA" w:rsidRDefault="00DD0CFA" w:rsidP="002851B7">
            <w:pPr>
              <w:widowControl w:val="0"/>
              <w:autoSpaceDE w:val="0"/>
              <w:autoSpaceDN w:val="0"/>
              <w:adjustRightInd w:val="0"/>
              <w:jc w:val="center"/>
            </w:pPr>
            <w:r>
              <w:t>–</w:t>
            </w:r>
          </w:p>
        </w:tc>
      </w:tr>
      <w:tr w:rsidR="00DD0CFA" w:rsidRPr="00DD0CFA">
        <w:tblPrEx>
          <w:tblCellMar>
            <w:top w:w="0" w:type="dxa"/>
            <w:bottom w:w="0" w:type="dxa"/>
          </w:tblCellMar>
        </w:tblPrEx>
        <w:tc>
          <w:tcPr>
            <w:tcW w:w="2185" w:type="dxa"/>
          </w:tcPr>
          <w:p w:rsidR="00DD0CFA" w:rsidRPr="00DD0CFA" w:rsidRDefault="00DD0CFA" w:rsidP="00F96E00">
            <w:pPr>
              <w:widowControl w:val="0"/>
              <w:autoSpaceDE w:val="0"/>
              <w:autoSpaceDN w:val="0"/>
              <w:adjustRightInd w:val="0"/>
              <w:ind w:left="519"/>
            </w:pPr>
            <w:r w:rsidRPr="00DD0CFA">
              <w:t>Cd</w:t>
            </w:r>
          </w:p>
        </w:tc>
        <w:tc>
          <w:tcPr>
            <w:tcW w:w="2185" w:type="dxa"/>
          </w:tcPr>
          <w:p w:rsidR="00DD0CFA" w:rsidRPr="00DD0CFA" w:rsidRDefault="00DD0CFA" w:rsidP="00F96E00">
            <w:pPr>
              <w:widowControl w:val="0"/>
              <w:autoSpaceDE w:val="0"/>
              <w:autoSpaceDN w:val="0"/>
              <w:adjustRightInd w:val="0"/>
              <w:ind w:left="-70" w:right="785"/>
              <w:jc w:val="right"/>
            </w:pPr>
            <w:r w:rsidRPr="00DD0CFA">
              <w:t>10</w:t>
            </w:r>
          </w:p>
        </w:tc>
        <w:tc>
          <w:tcPr>
            <w:tcW w:w="2185" w:type="dxa"/>
          </w:tcPr>
          <w:p w:rsidR="00DD0CFA" w:rsidRPr="00DD0CFA" w:rsidRDefault="00DD0CFA" w:rsidP="002851B7">
            <w:pPr>
              <w:widowControl w:val="0"/>
              <w:autoSpaceDE w:val="0"/>
              <w:autoSpaceDN w:val="0"/>
              <w:adjustRightInd w:val="0"/>
              <w:jc w:val="center"/>
            </w:pPr>
            <w:r w:rsidRPr="00DD0CFA">
              <w:t>2</w:t>
            </w:r>
          </w:p>
        </w:tc>
      </w:tr>
    </w:tbl>
    <w:p w:rsidR="00DD0CFA" w:rsidRDefault="00DD0CFA" w:rsidP="00B52FE2">
      <w:pPr>
        <w:widowControl w:val="0"/>
        <w:autoSpaceDE w:val="0"/>
        <w:autoSpaceDN w:val="0"/>
        <w:adjustRightInd w:val="0"/>
        <w:ind w:left="1440" w:hanging="720"/>
      </w:pPr>
    </w:p>
    <w:p w:rsidR="00B52FE2" w:rsidRDefault="00B52FE2" w:rsidP="00B52FE2">
      <w:pPr>
        <w:widowControl w:val="0"/>
        <w:autoSpaceDE w:val="0"/>
        <w:autoSpaceDN w:val="0"/>
        <w:adjustRightInd w:val="0"/>
        <w:ind w:left="1440" w:hanging="720"/>
      </w:pPr>
      <w:r>
        <w:t>d)</w:t>
      </w:r>
      <w:r>
        <w:tab/>
        <w:t>There are some areas in Illinois which have low soil CEC (</w:t>
      </w:r>
      <w:r w:rsidR="002851B7">
        <w:t>&lt;</w:t>
      </w:r>
      <w:r>
        <w:t xml:space="preserve">5 meq/100g) and should be avoided for sludge application whenever possible.  If a sludge management plan includes sludge application in these areas, the sludge generator or user shall apply only half of the heavy metal loading rates set forth in Table II. </w:t>
      </w:r>
    </w:p>
    <w:p w:rsidR="00C51D4A" w:rsidRDefault="00C51D4A" w:rsidP="00B52FE2">
      <w:pPr>
        <w:widowControl w:val="0"/>
        <w:autoSpaceDE w:val="0"/>
        <w:autoSpaceDN w:val="0"/>
        <w:adjustRightInd w:val="0"/>
        <w:ind w:left="1440" w:hanging="720"/>
      </w:pPr>
    </w:p>
    <w:p w:rsidR="00B52FE2" w:rsidRDefault="00B52FE2" w:rsidP="00B52FE2">
      <w:pPr>
        <w:widowControl w:val="0"/>
        <w:autoSpaceDE w:val="0"/>
        <w:autoSpaceDN w:val="0"/>
        <w:adjustRightInd w:val="0"/>
        <w:ind w:left="1440" w:hanging="720"/>
      </w:pPr>
      <w:r>
        <w:t>e)</w:t>
      </w:r>
      <w:r>
        <w:tab/>
        <w:t>Permits may be issued which allow application of double the amounts listed in Table II providing it is demonstrated that the soil CEC is greater than 15 me</w:t>
      </w:r>
      <w:r w:rsidR="00BE6151">
        <w:t>q</w:t>
      </w:r>
      <w:r>
        <w:t xml:space="preserve">/100g.  However, an extensive soil survey must be performed prior to and during the sludge application period to demonstrate the consistency of high soil CEC values at the sludge application site. </w:t>
      </w:r>
    </w:p>
    <w:p w:rsidR="00C51D4A" w:rsidRDefault="00C51D4A" w:rsidP="00DD0CFA">
      <w:pPr>
        <w:widowControl w:val="0"/>
        <w:autoSpaceDE w:val="0"/>
        <w:autoSpaceDN w:val="0"/>
        <w:adjustRightInd w:val="0"/>
        <w:ind w:left="1440" w:hanging="720"/>
      </w:pPr>
    </w:p>
    <w:p w:rsidR="00B52FE2" w:rsidRDefault="00B52FE2" w:rsidP="00DD0CFA">
      <w:pPr>
        <w:widowControl w:val="0"/>
        <w:autoSpaceDE w:val="0"/>
        <w:autoSpaceDN w:val="0"/>
        <w:adjustRightInd w:val="0"/>
        <w:ind w:left="1440" w:hanging="720"/>
      </w:pPr>
      <w:r>
        <w:t>f)</w:t>
      </w:r>
      <w:r>
        <w:tab/>
        <w:t xml:space="preserve">The Agency may request an applicant to analyze a sludge for elements other than those in Table II and to limit sludge application based on other elements due to potential for groundwater or surface water pollution, </w:t>
      </w:r>
      <w:proofErr w:type="spellStart"/>
      <w:r>
        <w:t>phytotoxicity</w:t>
      </w:r>
      <w:proofErr w:type="spellEnd"/>
      <w:r>
        <w:t xml:space="preserve">, mammalian toxicity or other environmental concerns.  If the Agency determines that metals other than those in Table II should restrict the proposed application rate, the following loading rates shall be utilized for the land application project: </w:t>
      </w:r>
    </w:p>
    <w:p w:rsidR="00B52FE2" w:rsidRDefault="00B52FE2" w:rsidP="00994F56">
      <w:pPr>
        <w:widowControl w:val="0"/>
        <w:autoSpaceDE w:val="0"/>
        <w:autoSpaceDN w:val="0"/>
        <w:adjustRightInd w:val="0"/>
        <w:ind w:left="1440" w:hanging="720"/>
      </w:pPr>
    </w:p>
    <w:tbl>
      <w:tblPr>
        <w:tblW w:w="0" w:type="auto"/>
        <w:tblInd w:w="2274" w:type="dxa"/>
        <w:tblLayout w:type="fixed"/>
        <w:tblLook w:val="0000" w:firstRow="0" w:lastRow="0" w:firstColumn="0" w:lastColumn="0" w:noHBand="0" w:noVBand="0"/>
      </w:tblPr>
      <w:tblGrid>
        <w:gridCol w:w="1938"/>
        <w:gridCol w:w="2280"/>
        <w:gridCol w:w="2223"/>
      </w:tblGrid>
      <w:tr w:rsidR="00994F56" w:rsidRPr="00DD0CFA">
        <w:tblPrEx>
          <w:tblCellMar>
            <w:top w:w="0" w:type="dxa"/>
            <w:bottom w:w="0" w:type="dxa"/>
          </w:tblCellMar>
        </w:tblPrEx>
        <w:tc>
          <w:tcPr>
            <w:tcW w:w="6441" w:type="dxa"/>
            <w:gridSpan w:val="3"/>
          </w:tcPr>
          <w:p w:rsidR="00994F56" w:rsidRPr="00DD0CFA" w:rsidRDefault="00994F56" w:rsidP="00F96E00">
            <w:pPr>
              <w:widowControl w:val="0"/>
              <w:autoSpaceDE w:val="0"/>
              <w:autoSpaceDN w:val="0"/>
              <w:adjustRightInd w:val="0"/>
              <w:ind w:left="-108" w:right="-108"/>
              <w:jc w:val="center"/>
            </w:pPr>
            <w:r>
              <w:t>TABLE III</w:t>
            </w:r>
          </w:p>
        </w:tc>
      </w:tr>
      <w:tr w:rsidR="00994F56" w:rsidRPr="00DD0CFA">
        <w:tblPrEx>
          <w:tblCellMar>
            <w:top w:w="0" w:type="dxa"/>
            <w:bottom w:w="0" w:type="dxa"/>
          </w:tblCellMar>
        </w:tblPrEx>
        <w:tc>
          <w:tcPr>
            <w:tcW w:w="6441" w:type="dxa"/>
            <w:gridSpan w:val="3"/>
          </w:tcPr>
          <w:p w:rsidR="00994F56" w:rsidRDefault="00994F56" w:rsidP="00F96E00">
            <w:pPr>
              <w:widowControl w:val="0"/>
              <w:autoSpaceDE w:val="0"/>
              <w:autoSpaceDN w:val="0"/>
              <w:adjustRightInd w:val="0"/>
              <w:ind w:left="-108" w:right="-108" w:hanging="720"/>
              <w:jc w:val="center"/>
            </w:pPr>
          </w:p>
        </w:tc>
      </w:tr>
      <w:tr w:rsidR="00994F56" w:rsidRPr="00DD0CFA">
        <w:tblPrEx>
          <w:tblCellMar>
            <w:top w:w="0" w:type="dxa"/>
            <w:bottom w:w="0" w:type="dxa"/>
          </w:tblCellMar>
        </w:tblPrEx>
        <w:tc>
          <w:tcPr>
            <w:tcW w:w="6441" w:type="dxa"/>
            <w:gridSpan w:val="3"/>
          </w:tcPr>
          <w:p w:rsidR="00994F56" w:rsidRDefault="00994F56" w:rsidP="00F96E00">
            <w:pPr>
              <w:widowControl w:val="0"/>
              <w:autoSpaceDE w:val="0"/>
              <w:autoSpaceDN w:val="0"/>
              <w:adjustRightInd w:val="0"/>
              <w:ind w:left="-108" w:right="-108"/>
              <w:jc w:val="center"/>
            </w:pPr>
            <w:r>
              <w:t>ACCEPTABLE LOADING RATES</w:t>
            </w:r>
          </w:p>
          <w:p w:rsidR="00994F56" w:rsidRDefault="00994F56" w:rsidP="00F96E00">
            <w:pPr>
              <w:widowControl w:val="0"/>
              <w:autoSpaceDE w:val="0"/>
              <w:autoSpaceDN w:val="0"/>
              <w:adjustRightInd w:val="0"/>
              <w:ind w:left="-108" w:right="-108"/>
              <w:jc w:val="center"/>
            </w:pPr>
            <w:r>
              <w:t>(pounds per acre)</w:t>
            </w:r>
          </w:p>
          <w:p w:rsidR="00994F56" w:rsidRPr="00DD0CFA" w:rsidRDefault="00994F56" w:rsidP="00F96E00">
            <w:pPr>
              <w:widowControl w:val="0"/>
              <w:autoSpaceDE w:val="0"/>
              <w:autoSpaceDN w:val="0"/>
              <w:adjustRightInd w:val="0"/>
              <w:ind w:left="-108" w:right="-108"/>
              <w:jc w:val="center"/>
            </w:pPr>
          </w:p>
        </w:tc>
      </w:tr>
      <w:tr w:rsidR="00994F56" w:rsidRPr="00DD0CFA">
        <w:tblPrEx>
          <w:tblCellMar>
            <w:top w:w="0" w:type="dxa"/>
            <w:bottom w:w="0" w:type="dxa"/>
          </w:tblCellMar>
        </w:tblPrEx>
        <w:tc>
          <w:tcPr>
            <w:tcW w:w="1938" w:type="dxa"/>
            <w:tcBorders>
              <w:bottom w:val="single" w:sz="4" w:space="0" w:color="auto"/>
            </w:tcBorders>
          </w:tcPr>
          <w:p w:rsidR="00994F56" w:rsidRPr="00DD0CFA" w:rsidRDefault="00994F56" w:rsidP="00F96E00">
            <w:pPr>
              <w:widowControl w:val="0"/>
              <w:autoSpaceDE w:val="0"/>
              <w:autoSpaceDN w:val="0"/>
              <w:adjustRightInd w:val="0"/>
              <w:ind w:left="348"/>
            </w:pPr>
            <w:r w:rsidRPr="00DD0CFA">
              <w:t>Metal</w:t>
            </w:r>
          </w:p>
        </w:tc>
        <w:tc>
          <w:tcPr>
            <w:tcW w:w="2280" w:type="dxa"/>
            <w:tcBorders>
              <w:bottom w:val="single" w:sz="4" w:space="0" w:color="auto"/>
            </w:tcBorders>
          </w:tcPr>
          <w:p w:rsidR="00994F56" w:rsidRPr="00DD0CFA" w:rsidRDefault="00994F56" w:rsidP="00994F56">
            <w:pPr>
              <w:widowControl w:val="0"/>
              <w:autoSpaceDE w:val="0"/>
              <w:autoSpaceDN w:val="0"/>
              <w:adjustRightInd w:val="0"/>
              <w:jc w:val="center"/>
            </w:pPr>
            <w:r w:rsidRPr="00DD0CFA">
              <w:t>Total</w:t>
            </w:r>
          </w:p>
        </w:tc>
        <w:tc>
          <w:tcPr>
            <w:tcW w:w="2223" w:type="dxa"/>
            <w:tcBorders>
              <w:bottom w:val="single" w:sz="4" w:space="0" w:color="auto"/>
            </w:tcBorders>
          </w:tcPr>
          <w:p w:rsidR="00994F56" w:rsidRPr="00DD0CFA" w:rsidRDefault="00994F56" w:rsidP="00994F56">
            <w:pPr>
              <w:widowControl w:val="0"/>
              <w:autoSpaceDE w:val="0"/>
              <w:autoSpaceDN w:val="0"/>
              <w:adjustRightInd w:val="0"/>
              <w:jc w:val="center"/>
            </w:pPr>
            <w:r w:rsidRPr="00DD0CFA">
              <w:t>Annual</w:t>
            </w:r>
          </w:p>
        </w:tc>
      </w:tr>
      <w:tr w:rsidR="00994F56" w:rsidRPr="00DD0CFA">
        <w:tblPrEx>
          <w:tblCellMar>
            <w:top w:w="0" w:type="dxa"/>
            <w:bottom w:w="0" w:type="dxa"/>
          </w:tblCellMar>
        </w:tblPrEx>
        <w:tc>
          <w:tcPr>
            <w:tcW w:w="1938" w:type="dxa"/>
            <w:tcBorders>
              <w:top w:val="single" w:sz="4" w:space="0" w:color="auto"/>
            </w:tcBorders>
          </w:tcPr>
          <w:p w:rsidR="00994F56" w:rsidRPr="00DD0CFA" w:rsidRDefault="00994F56" w:rsidP="00EC605D">
            <w:pPr>
              <w:widowControl w:val="0"/>
              <w:autoSpaceDE w:val="0"/>
              <w:autoSpaceDN w:val="0"/>
              <w:adjustRightInd w:val="0"/>
            </w:pPr>
          </w:p>
        </w:tc>
        <w:tc>
          <w:tcPr>
            <w:tcW w:w="2280" w:type="dxa"/>
            <w:tcBorders>
              <w:top w:val="single" w:sz="4" w:space="0" w:color="auto"/>
            </w:tcBorders>
          </w:tcPr>
          <w:p w:rsidR="00994F56" w:rsidRPr="00DD0CFA" w:rsidRDefault="00994F56" w:rsidP="00EC605D">
            <w:pPr>
              <w:widowControl w:val="0"/>
              <w:autoSpaceDE w:val="0"/>
              <w:autoSpaceDN w:val="0"/>
              <w:adjustRightInd w:val="0"/>
            </w:pPr>
          </w:p>
        </w:tc>
        <w:tc>
          <w:tcPr>
            <w:tcW w:w="2223" w:type="dxa"/>
            <w:tcBorders>
              <w:top w:val="single" w:sz="4" w:space="0" w:color="auto"/>
            </w:tcBorders>
          </w:tcPr>
          <w:p w:rsidR="00994F56" w:rsidRPr="00DD0CFA" w:rsidRDefault="00994F56" w:rsidP="00EC605D">
            <w:pPr>
              <w:widowControl w:val="0"/>
              <w:autoSpaceDE w:val="0"/>
              <w:autoSpaceDN w:val="0"/>
              <w:adjustRightInd w:val="0"/>
            </w:pPr>
          </w:p>
        </w:tc>
      </w:tr>
      <w:tr w:rsidR="00994F56" w:rsidRPr="00DD0CFA">
        <w:tblPrEx>
          <w:tblCellMar>
            <w:top w:w="0" w:type="dxa"/>
            <w:bottom w:w="0" w:type="dxa"/>
          </w:tblCellMar>
        </w:tblPrEx>
        <w:tc>
          <w:tcPr>
            <w:tcW w:w="1938" w:type="dxa"/>
          </w:tcPr>
          <w:p w:rsidR="00994F56" w:rsidRPr="00DD0CFA" w:rsidRDefault="00994F56" w:rsidP="00F96E00">
            <w:pPr>
              <w:widowControl w:val="0"/>
              <w:autoSpaceDE w:val="0"/>
              <w:autoSpaceDN w:val="0"/>
              <w:adjustRightInd w:val="0"/>
              <w:ind w:left="348"/>
            </w:pPr>
            <w:r>
              <w:t>Antimony</w:t>
            </w:r>
          </w:p>
        </w:tc>
        <w:tc>
          <w:tcPr>
            <w:tcW w:w="2280" w:type="dxa"/>
          </w:tcPr>
          <w:p w:rsidR="00994F56" w:rsidRPr="00DD0CFA" w:rsidRDefault="00994F56" w:rsidP="00F96E00">
            <w:pPr>
              <w:widowControl w:val="0"/>
              <w:autoSpaceDE w:val="0"/>
              <w:autoSpaceDN w:val="0"/>
              <w:adjustRightInd w:val="0"/>
              <w:ind w:right="804" w:firstLine="120"/>
              <w:jc w:val="right"/>
            </w:pPr>
            <w:r>
              <w:t>700</w:t>
            </w:r>
          </w:p>
        </w:tc>
        <w:tc>
          <w:tcPr>
            <w:tcW w:w="2223" w:type="dxa"/>
          </w:tcPr>
          <w:p w:rsidR="00994F56" w:rsidRPr="00DD0CFA" w:rsidRDefault="00994F56" w:rsidP="00994F56">
            <w:pPr>
              <w:widowControl w:val="0"/>
              <w:autoSpaceDE w:val="0"/>
              <w:autoSpaceDN w:val="0"/>
              <w:adjustRightInd w:val="0"/>
              <w:jc w:val="center"/>
            </w:pPr>
          </w:p>
        </w:tc>
      </w:tr>
      <w:tr w:rsidR="00994F56" w:rsidRPr="00DD0CFA">
        <w:tblPrEx>
          <w:tblCellMar>
            <w:top w:w="0" w:type="dxa"/>
            <w:bottom w:w="0" w:type="dxa"/>
          </w:tblCellMar>
        </w:tblPrEx>
        <w:tc>
          <w:tcPr>
            <w:tcW w:w="1938" w:type="dxa"/>
          </w:tcPr>
          <w:p w:rsidR="00994F56" w:rsidRPr="00DD0CFA" w:rsidRDefault="00994F56" w:rsidP="00F96E00">
            <w:pPr>
              <w:widowControl w:val="0"/>
              <w:autoSpaceDE w:val="0"/>
              <w:autoSpaceDN w:val="0"/>
              <w:adjustRightInd w:val="0"/>
              <w:ind w:left="348"/>
            </w:pPr>
            <w:r>
              <w:t>Arsenic</w:t>
            </w:r>
          </w:p>
        </w:tc>
        <w:tc>
          <w:tcPr>
            <w:tcW w:w="2280" w:type="dxa"/>
          </w:tcPr>
          <w:p w:rsidR="00994F56" w:rsidRPr="00DD0CFA" w:rsidRDefault="00994F56" w:rsidP="00F96E00">
            <w:pPr>
              <w:widowControl w:val="0"/>
              <w:autoSpaceDE w:val="0"/>
              <w:autoSpaceDN w:val="0"/>
              <w:adjustRightInd w:val="0"/>
              <w:ind w:right="804" w:firstLine="120"/>
              <w:jc w:val="right"/>
            </w:pPr>
            <w:r>
              <w:t>100</w:t>
            </w:r>
          </w:p>
        </w:tc>
        <w:tc>
          <w:tcPr>
            <w:tcW w:w="2223" w:type="dxa"/>
          </w:tcPr>
          <w:p w:rsidR="00994F56" w:rsidRPr="00DD0CFA" w:rsidRDefault="00994F56" w:rsidP="00994F56">
            <w:pPr>
              <w:widowControl w:val="0"/>
              <w:autoSpaceDE w:val="0"/>
              <w:autoSpaceDN w:val="0"/>
              <w:adjustRightInd w:val="0"/>
              <w:jc w:val="center"/>
            </w:pPr>
          </w:p>
        </w:tc>
      </w:tr>
      <w:tr w:rsidR="00994F56" w:rsidRPr="00DD0CFA">
        <w:tblPrEx>
          <w:tblCellMar>
            <w:top w:w="0" w:type="dxa"/>
            <w:bottom w:w="0" w:type="dxa"/>
          </w:tblCellMar>
        </w:tblPrEx>
        <w:tc>
          <w:tcPr>
            <w:tcW w:w="1938" w:type="dxa"/>
          </w:tcPr>
          <w:p w:rsidR="00994F56" w:rsidRPr="00DD0CFA" w:rsidRDefault="00994F56" w:rsidP="00F96E00">
            <w:pPr>
              <w:widowControl w:val="0"/>
              <w:autoSpaceDE w:val="0"/>
              <w:autoSpaceDN w:val="0"/>
              <w:adjustRightInd w:val="0"/>
              <w:ind w:left="348"/>
            </w:pPr>
            <w:r>
              <w:t>Chromium (trivalent)</w:t>
            </w:r>
          </w:p>
        </w:tc>
        <w:tc>
          <w:tcPr>
            <w:tcW w:w="2280" w:type="dxa"/>
          </w:tcPr>
          <w:p w:rsidR="00994F56" w:rsidRPr="00DD0CFA" w:rsidRDefault="00994F56" w:rsidP="00F96E00">
            <w:pPr>
              <w:widowControl w:val="0"/>
              <w:autoSpaceDE w:val="0"/>
              <w:autoSpaceDN w:val="0"/>
              <w:adjustRightInd w:val="0"/>
              <w:ind w:right="804" w:firstLine="6"/>
              <w:jc w:val="right"/>
            </w:pPr>
            <w:r>
              <w:t>3500</w:t>
            </w:r>
          </w:p>
        </w:tc>
        <w:tc>
          <w:tcPr>
            <w:tcW w:w="2223" w:type="dxa"/>
          </w:tcPr>
          <w:p w:rsidR="00994F56" w:rsidRPr="00DD0CFA" w:rsidRDefault="00994F56" w:rsidP="00994F56">
            <w:pPr>
              <w:widowControl w:val="0"/>
              <w:autoSpaceDE w:val="0"/>
              <w:autoSpaceDN w:val="0"/>
              <w:adjustRightInd w:val="0"/>
              <w:jc w:val="center"/>
            </w:pPr>
            <w:r>
              <w:t>89</w:t>
            </w:r>
          </w:p>
        </w:tc>
      </w:tr>
      <w:tr w:rsidR="00994F56" w:rsidRPr="00DD0CFA">
        <w:tblPrEx>
          <w:tblCellMar>
            <w:top w:w="0" w:type="dxa"/>
            <w:bottom w:w="0" w:type="dxa"/>
          </w:tblCellMar>
        </w:tblPrEx>
        <w:tc>
          <w:tcPr>
            <w:tcW w:w="1938" w:type="dxa"/>
          </w:tcPr>
          <w:p w:rsidR="00994F56" w:rsidRPr="00DD0CFA" w:rsidRDefault="00994F56" w:rsidP="00F96E00">
            <w:pPr>
              <w:widowControl w:val="0"/>
              <w:autoSpaceDE w:val="0"/>
              <w:autoSpaceDN w:val="0"/>
              <w:adjustRightInd w:val="0"/>
              <w:ind w:left="348"/>
            </w:pPr>
            <w:r>
              <w:t>Chromium (hexavalent)</w:t>
            </w:r>
          </w:p>
        </w:tc>
        <w:tc>
          <w:tcPr>
            <w:tcW w:w="2280" w:type="dxa"/>
          </w:tcPr>
          <w:p w:rsidR="00994F56" w:rsidRPr="00DD0CFA" w:rsidRDefault="00994F56" w:rsidP="00F96E00">
            <w:pPr>
              <w:widowControl w:val="0"/>
              <w:autoSpaceDE w:val="0"/>
              <w:autoSpaceDN w:val="0"/>
              <w:adjustRightInd w:val="0"/>
              <w:ind w:right="804" w:firstLine="120"/>
              <w:jc w:val="right"/>
            </w:pPr>
            <w:r>
              <w:t>440</w:t>
            </w:r>
          </w:p>
        </w:tc>
        <w:tc>
          <w:tcPr>
            <w:tcW w:w="2223" w:type="dxa"/>
          </w:tcPr>
          <w:p w:rsidR="00994F56" w:rsidRPr="00DD0CFA" w:rsidRDefault="00994F56" w:rsidP="00994F56">
            <w:pPr>
              <w:widowControl w:val="0"/>
              <w:autoSpaceDE w:val="0"/>
              <w:autoSpaceDN w:val="0"/>
              <w:adjustRightInd w:val="0"/>
              <w:jc w:val="center"/>
            </w:pPr>
            <w:r>
              <w:t>44</w:t>
            </w:r>
          </w:p>
        </w:tc>
      </w:tr>
      <w:tr w:rsidR="00994F56" w:rsidRPr="00DD0CFA">
        <w:tblPrEx>
          <w:tblCellMar>
            <w:top w:w="0" w:type="dxa"/>
            <w:bottom w:w="0" w:type="dxa"/>
          </w:tblCellMar>
        </w:tblPrEx>
        <w:tc>
          <w:tcPr>
            <w:tcW w:w="1938" w:type="dxa"/>
          </w:tcPr>
          <w:p w:rsidR="00994F56" w:rsidRPr="00DD0CFA" w:rsidRDefault="00994F56" w:rsidP="00F96E00">
            <w:pPr>
              <w:widowControl w:val="0"/>
              <w:autoSpaceDE w:val="0"/>
              <w:autoSpaceDN w:val="0"/>
              <w:adjustRightInd w:val="0"/>
              <w:ind w:left="348"/>
            </w:pPr>
            <w:r>
              <w:t>Mercury</w:t>
            </w:r>
          </w:p>
        </w:tc>
        <w:tc>
          <w:tcPr>
            <w:tcW w:w="2280" w:type="dxa"/>
          </w:tcPr>
          <w:p w:rsidR="00994F56" w:rsidRPr="00DD0CFA" w:rsidRDefault="00994F56" w:rsidP="00F96E00">
            <w:pPr>
              <w:widowControl w:val="0"/>
              <w:autoSpaceDE w:val="0"/>
              <w:autoSpaceDN w:val="0"/>
              <w:adjustRightInd w:val="0"/>
              <w:ind w:right="804" w:firstLine="6"/>
              <w:jc w:val="right"/>
            </w:pPr>
          </w:p>
        </w:tc>
        <w:tc>
          <w:tcPr>
            <w:tcW w:w="2223" w:type="dxa"/>
          </w:tcPr>
          <w:p w:rsidR="00994F56" w:rsidRPr="00DD0CFA" w:rsidRDefault="00994F56" w:rsidP="00994F56">
            <w:pPr>
              <w:widowControl w:val="0"/>
              <w:autoSpaceDE w:val="0"/>
              <w:autoSpaceDN w:val="0"/>
              <w:adjustRightInd w:val="0"/>
              <w:ind w:firstLine="120"/>
              <w:jc w:val="center"/>
            </w:pPr>
            <w:r>
              <w:t>7</w:t>
            </w:r>
          </w:p>
        </w:tc>
      </w:tr>
      <w:tr w:rsidR="00994F56" w:rsidRPr="00DD0CFA">
        <w:tblPrEx>
          <w:tblCellMar>
            <w:top w:w="0" w:type="dxa"/>
            <w:bottom w:w="0" w:type="dxa"/>
          </w:tblCellMar>
        </w:tblPrEx>
        <w:tc>
          <w:tcPr>
            <w:tcW w:w="1938" w:type="dxa"/>
          </w:tcPr>
          <w:p w:rsidR="00994F56" w:rsidRPr="00DD0CFA" w:rsidRDefault="00994F56" w:rsidP="00F96E00">
            <w:pPr>
              <w:widowControl w:val="0"/>
              <w:autoSpaceDE w:val="0"/>
              <w:autoSpaceDN w:val="0"/>
              <w:adjustRightInd w:val="0"/>
              <w:ind w:left="348"/>
            </w:pPr>
            <w:r>
              <w:t>Selenium</w:t>
            </w:r>
          </w:p>
        </w:tc>
        <w:tc>
          <w:tcPr>
            <w:tcW w:w="2280" w:type="dxa"/>
          </w:tcPr>
          <w:p w:rsidR="00994F56" w:rsidRPr="00DD0CFA" w:rsidRDefault="00994F56" w:rsidP="00F96E00">
            <w:pPr>
              <w:widowControl w:val="0"/>
              <w:autoSpaceDE w:val="0"/>
              <w:autoSpaceDN w:val="0"/>
              <w:adjustRightInd w:val="0"/>
              <w:ind w:right="804" w:firstLine="360"/>
              <w:jc w:val="right"/>
            </w:pPr>
            <w:r>
              <w:t>8</w:t>
            </w:r>
          </w:p>
        </w:tc>
        <w:tc>
          <w:tcPr>
            <w:tcW w:w="2223" w:type="dxa"/>
          </w:tcPr>
          <w:p w:rsidR="00994F56" w:rsidRPr="00DD0CFA" w:rsidRDefault="00994F56" w:rsidP="00994F56">
            <w:pPr>
              <w:widowControl w:val="0"/>
              <w:autoSpaceDE w:val="0"/>
              <w:autoSpaceDN w:val="0"/>
              <w:adjustRightInd w:val="0"/>
              <w:jc w:val="center"/>
            </w:pPr>
          </w:p>
        </w:tc>
      </w:tr>
      <w:tr w:rsidR="00994F56" w:rsidRPr="00DD0CFA">
        <w:tblPrEx>
          <w:tblCellMar>
            <w:top w:w="0" w:type="dxa"/>
            <w:bottom w:w="0" w:type="dxa"/>
          </w:tblCellMar>
        </w:tblPrEx>
        <w:tc>
          <w:tcPr>
            <w:tcW w:w="1938" w:type="dxa"/>
          </w:tcPr>
          <w:p w:rsidR="00994F56" w:rsidRDefault="00994F56" w:rsidP="00F96E00">
            <w:pPr>
              <w:widowControl w:val="0"/>
              <w:autoSpaceDE w:val="0"/>
              <w:autoSpaceDN w:val="0"/>
              <w:adjustRightInd w:val="0"/>
              <w:ind w:left="348"/>
            </w:pPr>
            <w:r>
              <w:t>Silver</w:t>
            </w:r>
          </w:p>
        </w:tc>
        <w:tc>
          <w:tcPr>
            <w:tcW w:w="2280" w:type="dxa"/>
          </w:tcPr>
          <w:p w:rsidR="00994F56" w:rsidRPr="00DD0CFA" w:rsidRDefault="00994F56" w:rsidP="00F96E00">
            <w:pPr>
              <w:widowControl w:val="0"/>
              <w:autoSpaceDE w:val="0"/>
              <w:autoSpaceDN w:val="0"/>
              <w:adjustRightInd w:val="0"/>
              <w:ind w:right="804" w:firstLine="126"/>
              <w:jc w:val="right"/>
            </w:pPr>
            <w:r>
              <w:t>178</w:t>
            </w:r>
          </w:p>
        </w:tc>
        <w:tc>
          <w:tcPr>
            <w:tcW w:w="2223" w:type="dxa"/>
          </w:tcPr>
          <w:p w:rsidR="00994F56" w:rsidRPr="00DD0CFA" w:rsidRDefault="00994F56" w:rsidP="00994F56">
            <w:pPr>
              <w:widowControl w:val="0"/>
              <w:autoSpaceDE w:val="0"/>
              <w:autoSpaceDN w:val="0"/>
              <w:adjustRightInd w:val="0"/>
              <w:jc w:val="center"/>
            </w:pPr>
          </w:p>
        </w:tc>
      </w:tr>
    </w:tbl>
    <w:p w:rsidR="00994F56" w:rsidRDefault="00994F56" w:rsidP="00994F56">
      <w:pPr>
        <w:widowControl w:val="0"/>
        <w:autoSpaceDE w:val="0"/>
        <w:autoSpaceDN w:val="0"/>
        <w:adjustRightInd w:val="0"/>
        <w:ind w:left="1440" w:hanging="720"/>
      </w:pPr>
    </w:p>
    <w:p w:rsidR="00B52FE2" w:rsidRDefault="00B52FE2" w:rsidP="00B52FE2">
      <w:pPr>
        <w:widowControl w:val="0"/>
        <w:autoSpaceDE w:val="0"/>
        <w:autoSpaceDN w:val="0"/>
        <w:adjustRightInd w:val="0"/>
        <w:ind w:left="1440" w:hanging="720"/>
      </w:pPr>
      <w:r>
        <w:t>g)</w:t>
      </w:r>
      <w:r>
        <w:tab/>
        <w:t xml:space="preserve">If sludge concentrations of molybdenum and/or selenium exceed 4.0 mg/kg (dry weight basis) the Agency shall restrict the crops to be grown on land receiving applications of that sludge or shall restrict the use of crops for livestock forage as necessary to prevent toxicity to livestock. </w:t>
      </w:r>
    </w:p>
    <w:p w:rsidR="00C51D4A" w:rsidRDefault="00C51D4A" w:rsidP="00B52FE2">
      <w:pPr>
        <w:widowControl w:val="0"/>
        <w:autoSpaceDE w:val="0"/>
        <w:autoSpaceDN w:val="0"/>
        <w:adjustRightInd w:val="0"/>
        <w:ind w:left="1440" w:hanging="720"/>
      </w:pPr>
    </w:p>
    <w:p w:rsidR="00B52FE2" w:rsidRDefault="00B52FE2" w:rsidP="00B52FE2">
      <w:pPr>
        <w:widowControl w:val="0"/>
        <w:autoSpaceDE w:val="0"/>
        <w:autoSpaceDN w:val="0"/>
        <w:adjustRightInd w:val="0"/>
        <w:ind w:left="1440" w:hanging="720"/>
      </w:pPr>
      <w:r>
        <w:t>h)</w:t>
      </w:r>
      <w:r>
        <w:tab/>
        <w:t xml:space="preserve">The Agency will consider allowing loading rates greater than those specified in this Section provided the generator or user addresses the following items: </w:t>
      </w:r>
    </w:p>
    <w:p w:rsidR="00C51D4A" w:rsidRDefault="00C51D4A" w:rsidP="00B52FE2">
      <w:pPr>
        <w:widowControl w:val="0"/>
        <w:autoSpaceDE w:val="0"/>
        <w:autoSpaceDN w:val="0"/>
        <w:adjustRightInd w:val="0"/>
        <w:ind w:left="2160" w:hanging="720"/>
      </w:pPr>
    </w:p>
    <w:p w:rsidR="00B52FE2" w:rsidRDefault="00B52FE2" w:rsidP="00B52FE2">
      <w:pPr>
        <w:widowControl w:val="0"/>
        <w:autoSpaceDE w:val="0"/>
        <w:autoSpaceDN w:val="0"/>
        <w:adjustRightInd w:val="0"/>
        <w:ind w:left="2160" w:hanging="720"/>
      </w:pPr>
      <w:r>
        <w:t>1)</w:t>
      </w:r>
      <w:r>
        <w:tab/>
        <w:t xml:space="preserve">Soil testing results with particular attention to plant available metals and phosphorus; </w:t>
      </w:r>
    </w:p>
    <w:p w:rsidR="00C51D4A" w:rsidRDefault="00C51D4A" w:rsidP="00B52FE2">
      <w:pPr>
        <w:widowControl w:val="0"/>
        <w:autoSpaceDE w:val="0"/>
        <w:autoSpaceDN w:val="0"/>
        <w:adjustRightInd w:val="0"/>
        <w:ind w:left="2160" w:hanging="720"/>
      </w:pPr>
    </w:p>
    <w:p w:rsidR="00B52FE2" w:rsidRDefault="00B52FE2" w:rsidP="00B52FE2">
      <w:pPr>
        <w:widowControl w:val="0"/>
        <w:autoSpaceDE w:val="0"/>
        <w:autoSpaceDN w:val="0"/>
        <w:adjustRightInd w:val="0"/>
        <w:ind w:left="2160" w:hanging="720"/>
      </w:pPr>
      <w:r>
        <w:t>2)</w:t>
      </w:r>
      <w:r>
        <w:tab/>
        <w:t xml:space="preserve">Groundwater monitoring results and adjacent groundwater use; </w:t>
      </w:r>
    </w:p>
    <w:p w:rsidR="00C51D4A" w:rsidRDefault="00C51D4A" w:rsidP="00B52FE2">
      <w:pPr>
        <w:widowControl w:val="0"/>
        <w:autoSpaceDE w:val="0"/>
        <w:autoSpaceDN w:val="0"/>
        <w:adjustRightInd w:val="0"/>
        <w:ind w:left="2160" w:hanging="720"/>
      </w:pPr>
    </w:p>
    <w:p w:rsidR="00B52FE2" w:rsidRDefault="00B52FE2" w:rsidP="00B52FE2">
      <w:pPr>
        <w:widowControl w:val="0"/>
        <w:autoSpaceDE w:val="0"/>
        <w:autoSpaceDN w:val="0"/>
        <w:adjustRightInd w:val="0"/>
        <w:ind w:left="2160" w:hanging="720"/>
      </w:pPr>
      <w:r>
        <w:t>3)</w:t>
      </w:r>
      <w:r>
        <w:tab/>
        <w:t xml:space="preserve">Plant tissue sampling and analyses and the ultimate use of the crop; </w:t>
      </w:r>
    </w:p>
    <w:p w:rsidR="00C51D4A" w:rsidRDefault="00C51D4A" w:rsidP="00B52FE2">
      <w:pPr>
        <w:widowControl w:val="0"/>
        <w:autoSpaceDE w:val="0"/>
        <w:autoSpaceDN w:val="0"/>
        <w:adjustRightInd w:val="0"/>
        <w:ind w:left="2160" w:hanging="720"/>
      </w:pPr>
    </w:p>
    <w:p w:rsidR="00B52FE2" w:rsidRDefault="00B52FE2" w:rsidP="00B52FE2">
      <w:pPr>
        <w:widowControl w:val="0"/>
        <w:autoSpaceDE w:val="0"/>
        <w:autoSpaceDN w:val="0"/>
        <w:adjustRightInd w:val="0"/>
        <w:ind w:left="2160" w:hanging="720"/>
      </w:pPr>
      <w:r>
        <w:t>4)</w:t>
      </w:r>
      <w:r>
        <w:tab/>
        <w:t xml:space="preserve">Availability of additional application sites; </w:t>
      </w:r>
    </w:p>
    <w:p w:rsidR="00C51D4A" w:rsidRDefault="00C51D4A" w:rsidP="00B52FE2">
      <w:pPr>
        <w:widowControl w:val="0"/>
        <w:autoSpaceDE w:val="0"/>
        <w:autoSpaceDN w:val="0"/>
        <w:adjustRightInd w:val="0"/>
        <w:ind w:left="2160" w:hanging="720"/>
      </w:pPr>
    </w:p>
    <w:p w:rsidR="00B52FE2" w:rsidRDefault="00B52FE2" w:rsidP="00B52FE2">
      <w:pPr>
        <w:widowControl w:val="0"/>
        <w:autoSpaceDE w:val="0"/>
        <w:autoSpaceDN w:val="0"/>
        <w:adjustRightInd w:val="0"/>
        <w:ind w:left="2160" w:hanging="720"/>
      </w:pPr>
      <w:r>
        <w:t>5)</w:t>
      </w:r>
      <w:r>
        <w:tab/>
        <w:t xml:space="preserve">Hydrogeology of the application site; </w:t>
      </w:r>
    </w:p>
    <w:p w:rsidR="00C51D4A" w:rsidRDefault="00C51D4A" w:rsidP="00B52FE2">
      <w:pPr>
        <w:widowControl w:val="0"/>
        <w:autoSpaceDE w:val="0"/>
        <w:autoSpaceDN w:val="0"/>
        <w:adjustRightInd w:val="0"/>
        <w:ind w:left="2160" w:hanging="720"/>
      </w:pPr>
    </w:p>
    <w:p w:rsidR="00B52FE2" w:rsidRDefault="00B52FE2" w:rsidP="00B52FE2">
      <w:pPr>
        <w:widowControl w:val="0"/>
        <w:autoSpaceDE w:val="0"/>
        <w:autoSpaceDN w:val="0"/>
        <w:adjustRightInd w:val="0"/>
        <w:ind w:left="2160" w:hanging="720"/>
      </w:pPr>
      <w:r>
        <w:t>6)</w:t>
      </w:r>
      <w:r>
        <w:tab/>
        <w:t>Operational constr</w:t>
      </w:r>
      <w:r w:rsidR="00BE6151">
        <w:t>ai</w:t>
      </w:r>
      <w:r>
        <w:t xml:space="preserve">nts of the application site; </w:t>
      </w:r>
    </w:p>
    <w:p w:rsidR="00C51D4A" w:rsidRDefault="00C51D4A" w:rsidP="00B52FE2">
      <w:pPr>
        <w:widowControl w:val="0"/>
        <w:autoSpaceDE w:val="0"/>
        <w:autoSpaceDN w:val="0"/>
        <w:adjustRightInd w:val="0"/>
        <w:ind w:left="2160" w:hanging="720"/>
      </w:pPr>
    </w:p>
    <w:p w:rsidR="00B52FE2" w:rsidRDefault="00B52FE2" w:rsidP="00B52FE2">
      <w:pPr>
        <w:widowControl w:val="0"/>
        <w:autoSpaceDE w:val="0"/>
        <w:autoSpaceDN w:val="0"/>
        <w:adjustRightInd w:val="0"/>
        <w:ind w:left="2160" w:hanging="720"/>
      </w:pPr>
      <w:r>
        <w:t>7)</w:t>
      </w:r>
      <w:r>
        <w:tab/>
        <w:t xml:space="preserve">Ultimate use of the application site. </w:t>
      </w:r>
    </w:p>
    <w:sectPr w:rsidR="00B52FE2" w:rsidSect="00994F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2FE2"/>
    <w:rsid w:val="00094577"/>
    <w:rsid w:val="002851B7"/>
    <w:rsid w:val="005C3366"/>
    <w:rsid w:val="00816DD1"/>
    <w:rsid w:val="00994F56"/>
    <w:rsid w:val="00B52FE2"/>
    <w:rsid w:val="00BC6876"/>
    <w:rsid w:val="00BE6151"/>
    <w:rsid w:val="00C51D4A"/>
    <w:rsid w:val="00D136FC"/>
    <w:rsid w:val="00DD0CFA"/>
    <w:rsid w:val="00EC605D"/>
    <w:rsid w:val="00F9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cp:lastPrinted>2003-03-06T16:14:00Z</cp:lastPrinted>
  <dcterms:created xsi:type="dcterms:W3CDTF">2012-06-21T20:50:00Z</dcterms:created>
  <dcterms:modified xsi:type="dcterms:W3CDTF">2012-06-21T20:50:00Z</dcterms:modified>
</cp:coreProperties>
</file>