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58" w:rsidRDefault="00752958" w:rsidP="007529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958" w:rsidRDefault="00752958" w:rsidP="007529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374.202  Minimum Size</w:t>
      </w:r>
      <w:r>
        <w:t xml:space="preserve"> </w:t>
      </w:r>
    </w:p>
    <w:p w:rsidR="00752958" w:rsidRDefault="00752958" w:rsidP="00752958">
      <w:pPr>
        <w:widowControl w:val="0"/>
        <w:autoSpaceDE w:val="0"/>
        <w:autoSpaceDN w:val="0"/>
        <w:adjustRightInd w:val="0"/>
      </w:pPr>
    </w:p>
    <w:p w:rsidR="00752958" w:rsidRDefault="00752958" w:rsidP="00752958">
      <w:pPr>
        <w:widowControl w:val="0"/>
        <w:autoSpaceDE w:val="0"/>
        <w:autoSpaceDN w:val="0"/>
        <w:adjustRightInd w:val="0"/>
      </w:pPr>
      <w:r>
        <w:t xml:space="preserve">The grinder pump "wet well" should have a minimum size of 150 gallons. </w:t>
      </w:r>
    </w:p>
    <w:sectPr w:rsidR="00752958" w:rsidSect="007529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958"/>
    <w:rsid w:val="005C3366"/>
    <w:rsid w:val="006A472E"/>
    <w:rsid w:val="00752958"/>
    <w:rsid w:val="00BE2CA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