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76" w:rsidRDefault="001A6C76" w:rsidP="001A6C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C76" w:rsidRDefault="001A6C76" w:rsidP="001A6C76">
      <w:pPr>
        <w:widowControl w:val="0"/>
        <w:autoSpaceDE w:val="0"/>
        <w:autoSpaceDN w:val="0"/>
        <w:adjustRightInd w:val="0"/>
        <w:jc w:val="center"/>
      </w:pPr>
      <w:r>
        <w:t>SUBPART B:  SITE SELECTION CONSIDERATIONS</w:t>
      </w:r>
    </w:p>
    <w:sectPr w:rsidR="001A6C76" w:rsidSect="001A6C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C76"/>
    <w:rsid w:val="001A6C76"/>
    <w:rsid w:val="00297F55"/>
    <w:rsid w:val="003A4C3C"/>
    <w:rsid w:val="005C3366"/>
    <w:rsid w:val="00E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SITE SELECTION CONSIDERATIONS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SITE SELECTION CONSIDERATIONS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