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1FB" w:rsidRDefault="007241FB" w:rsidP="007241F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241FB" w:rsidRDefault="007241FB" w:rsidP="007241FB">
      <w:pPr>
        <w:widowControl w:val="0"/>
        <w:autoSpaceDE w:val="0"/>
        <w:autoSpaceDN w:val="0"/>
        <w:adjustRightInd w:val="0"/>
      </w:pPr>
      <w:r>
        <w:rPr>
          <w:b/>
          <w:bCs/>
        </w:rPr>
        <w:t>Section 370.740  Imhoff Tanks</w:t>
      </w:r>
      <w:r>
        <w:t xml:space="preserve"> </w:t>
      </w:r>
    </w:p>
    <w:p w:rsidR="007241FB" w:rsidRDefault="007241FB" w:rsidP="007241FB">
      <w:pPr>
        <w:widowControl w:val="0"/>
        <w:autoSpaceDE w:val="0"/>
        <w:autoSpaceDN w:val="0"/>
        <w:adjustRightInd w:val="0"/>
      </w:pPr>
    </w:p>
    <w:p w:rsidR="007241FB" w:rsidRDefault="007241FB" w:rsidP="007241FB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General </w:t>
      </w:r>
    </w:p>
    <w:p w:rsidR="007241FB" w:rsidRDefault="007241FB" w:rsidP="007241FB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Imhoff tanks may be used for the sedimentation of settleable solids and for the unheated anaerobic digestion of these solids. </w:t>
      </w:r>
    </w:p>
    <w:p w:rsidR="00B81D4C" w:rsidRDefault="00B81D4C" w:rsidP="007241FB">
      <w:pPr>
        <w:widowControl w:val="0"/>
        <w:autoSpaceDE w:val="0"/>
        <w:autoSpaceDN w:val="0"/>
        <w:adjustRightInd w:val="0"/>
        <w:ind w:left="1440" w:hanging="720"/>
      </w:pPr>
    </w:p>
    <w:p w:rsidR="007241FB" w:rsidRDefault="007241FB" w:rsidP="007241FB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Settling Compartment Design </w:t>
      </w:r>
    </w:p>
    <w:p w:rsidR="00B81D4C" w:rsidRDefault="00B81D4C" w:rsidP="007241FB">
      <w:pPr>
        <w:widowControl w:val="0"/>
        <w:autoSpaceDE w:val="0"/>
        <w:autoSpaceDN w:val="0"/>
        <w:adjustRightInd w:val="0"/>
        <w:ind w:left="2160" w:hanging="720"/>
      </w:pPr>
    </w:p>
    <w:p w:rsidR="007241FB" w:rsidRDefault="007241FB" w:rsidP="007241FB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Settling Rate </w:t>
      </w:r>
    </w:p>
    <w:p w:rsidR="007241FB" w:rsidRDefault="007241FB" w:rsidP="007241FB">
      <w:pPr>
        <w:widowControl w:val="0"/>
        <w:autoSpaceDE w:val="0"/>
        <w:autoSpaceDN w:val="0"/>
        <w:adjustRightInd w:val="0"/>
        <w:ind w:left="2160" w:hanging="720"/>
      </w:pPr>
      <w:r>
        <w:tab/>
        <w:t xml:space="preserve">Surface settling rate shall not exceed 1000 gallons per day per square foot based upon design peak hourly flow. </w:t>
      </w:r>
    </w:p>
    <w:p w:rsidR="00B81D4C" w:rsidRDefault="00B81D4C" w:rsidP="007241FB">
      <w:pPr>
        <w:widowControl w:val="0"/>
        <w:autoSpaceDE w:val="0"/>
        <w:autoSpaceDN w:val="0"/>
        <w:adjustRightInd w:val="0"/>
        <w:ind w:left="2160" w:hanging="720"/>
      </w:pPr>
    </w:p>
    <w:p w:rsidR="007241FB" w:rsidRDefault="007241FB" w:rsidP="007241FB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Detention Period </w:t>
      </w:r>
    </w:p>
    <w:p w:rsidR="007241FB" w:rsidRDefault="007241FB" w:rsidP="007241FB">
      <w:pPr>
        <w:widowControl w:val="0"/>
        <w:autoSpaceDE w:val="0"/>
        <w:autoSpaceDN w:val="0"/>
        <w:adjustRightInd w:val="0"/>
        <w:ind w:left="2160" w:hanging="720"/>
      </w:pPr>
      <w:r>
        <w:tab/>
        <w:t xml:space="preserve">A detention period of not less than 1 hour based upon design peak hourly flow shall be provided. </w:t>
      </w:r>
    </w:p>
    <w:p w:rsidR="00B81D4C" w:rsidRDefault="00B81D4C" w:rsidP="007241FB">
      <w:pPr>
        <w:widowControl w:val="0"/>
        <w:autoSpaceDE w:val="0"/>
        <w:autoSpaceDN w:val="0"/>
        <w:adjustRightInd w:val="0"/>
        <w:ind w:left="2160" w:hanging="720"/>
      </w:pPr>
    </w:p>
    <w:p w:rsidR="007241FB" w:rsidRDefault="007241FB" w:rsidP="007241FB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Dimensions </w:t>
      </w:r>
    </w:p>
    <w:p w:rsidR="007241FB" w:rsidRDefault="007241FB" w:rsidP="007241FB">
      <w:pPr>
        <w:widowControl w:val="0"/>
        <w:autoSpaceDE w:val="0"/>
        <w:autoSpaceDN w:val="0"/>
        <w:adjustRightInd w:val="0"/>
        <w:ind w:left="2160" w:hanging="720"/>
      </w:pPr>
      <w:r>
        <w:tab/>
        <w:t xml:space="preserve">The minimum length of flow between inlet and outlet should be 10 feet and at least 6 feet of settling depth should be provided. </w:t>
      </w:r>
    </w:p>
    <w:p w:rsidR="00B81D4C" w:rsidRDefault="00B81D4C" w:rsidP="007241FB">
      <w:pPr>
        <w:widowControl w:val="0"/>
        <w:autoSpaceDE w:val="0"/>
        <w:autoSpaceDN w:val="0"/>
        <w:adjustRightInd w:val="0"/>
        <w:ind w:left="2160" w:hanging="720"/>
      </w:pPr>
    </w:p>
    <w:p w:rsidR="007241FB" w:rsidRDefault="007241FB" w:rsidP="007241FB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Freeboard </w:t>
      </w:r>
    </w:p>
    <w:p w:rsidR="007241FB" w:rsidRDefault="007241FB" w:rsidP="007241FB">
      <w:pPr>
        <w:widowControl w:val="0"/>
        <w:autoSpaceDE w:val="0"/>
        <w:autoSpaceDN w:val="0"/>
        <w:adjustRightInd w:val="0"/>
        <w:ind w:left="2160" w:hanging="720"/>
      </w:pPr>
      <w:r>
        <w:tab/>
        <w:t xml:space="preserve">The freeboard shall be 18 inches or more. </w:t>
      </w:r>
    </w:p>
    <w:p w:rsidR="00B81D4C" w:rsidRDefault="00B81D4C" w:rsidP="007241FB">
      <w:pPr>
        <w:widowControl w:val="0"/>
        <w:autoSpaceDE w:val="0"/>
        <w:autoSpaceDN w:val="0"/>
        <w:adjustRightInd w:val="0"/>
        <w:ind w:left="2160" w:hanging="720"/>
      </w:pPr>
    </w:p>
    <w:p w:rsidR="007241FB" w:rsidRDefault="007241FB" w:rsidP="007241FB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  <w:t xml:space="preserve">Hopper Slope </w:t>
      </w:r>
    </w:p>
    <w:p w:rsidR="007241FB" w:rsidRDefault="007241FB" w:rsidP="007241FB">
      <w:pPr>
        <w:widowControl w:val="0"/>
        <w:autoSpaceDE w:val="0"/>
        <w:autoSpaceDN w:val="0"/>
        <w:adjustRightInd w:val="0"/>
        <w:ind w:left="2160" w:hanging="720"/>
      </w:pPr>
      <w:r>
        <w:tab/>
        <w:t xml:space="preserve">The bottom of the settling chamber of the conventional tank shall have a slope of at least 1.4 vertical to 1.0 horizontal. The slot at the bottom of the settling chamber allowing solids passage shall have a minimum opening and a minimum overlap of 6 inches. </w:t>
      </w:r>
    </w:p>
    <w:p w:rsidR="00B81D4C" w:rsidRDefault="00B81D4C" w:rsidP="007241FB">
      <w:pPr>
        <w:widowControl w:val="0"/>
        <w:autoSpaceDE w:val="0"/>
        <w:autoSpaceDN w:val="0"/>
        <w:adjustRightInd w:val="0"/>
        <w:ind w:left="2160" w:hanging="720"/>
      </w:pPr>
    </w:p>
    <w:p w:rsidR="007241FB" w:rsidRDefault="007241FB" w:rsidP="007241FB">
      <w:pPr>
        <w:widowControl w:val="0"/>
        <w:autoSpaceDE w:val="0"/>
        <w:autoSpaceDN w:val="0"/>
        <w:adjustRightInd w:val="0"/>
        <w:ind w:left="2160" w:hanging="720"/>
      </w:pPr>
      <w:r>
        <w:t>6)</w:t>
      </w:r>
      <w:r>
        <w:tab/>
        <w:t xml:space="preserve">Inlets and Outlets </w:t>
      </w:r>
    </w:p>
    <w:p w:rsidR="007241FB" w:rsidRDefault="007241FB" w:rsidP="007241FB">
      <w:pPr>
        <w:widowControl w:val="0"/>
        <w:autoSpaceDE w:val="0"/>
        <w:autoSpaceDN w:val="0"/>
        <w:adjustRightInd w:val="0"/>
        <w:ind w:left="2160" w:hanging="720"/>
      </w:pPr>
      <w:r>
        <w:tab/>
        <w:t xml:space="preserve">Inlet and outlet arrangements should be designed so that the direction of flow may be reversed to allow for a more even distribution of solids in the digestion compartment. Adequate scum baffles shall be provided at the ends of the flow-through chamber. </w:t>
      </w:r>
    </w:p>
    <w:p w:rsidR="00B81D4C" w:rsidRDefault="00B81D4C" w:rsidP="007241FB">
      <w:pPr>
        <w:widowControl w:val="0"/>
        <w:autoSpaceDE w:val="0"/>
        <w:autoSpaceDN w:val="0"/>
        <w:adjustRightInd w:val="0"/>
        <w:ind w:left="2160" w:hanging="720"/>
      </w:pPr>
    </w:p>
    <w:p w:rsidR="007241FB" w:rsidRDefault="007241FB" w:rsidP="007241FB">
      <w:pPr>
        <w:widowControl w:val="0"/>
        <w:autoSpaceDE w:val="0"/>
        <w:autoSpaceDN w:val="0"/>
        <w:adjustRightInd w:val="0"/>
        <w:ind w:left="2160" w:hanging="720"/>
      </w:pPr>
      <w:r>
        <w:t>7)</w:t>
      </w:r>
      <w:r>
        <w:tab/>
        <w:t xml:space="preserve">Weirs </w:t>
      </w:r>
    </w:p>
    <w:p w:rsidR="007241FB" w:rsidRDefault="007241FB" w:rsidP="007241FB">
      <w:pPr>
        <w:widowControl w:val="0"/>
        <w:autoSpaceDE w:val="0"/>
        <w:autoSpaceDN w:val="0"/>
        <w:adjustRightInd w:val="0"/>
        <w:ind w:left="2160" w:hanging="720"/>
      </w:pPr>
      <w:r>
        <w:tab/>
        <w:t xml:space="preserve">Weir design and overflow rates shall be in accordance with Section 370.710(d). </w:t>
      </w:r>
    </w:p>
    <w:p w:rsidR="00B81D4C" w:rsidRDefault="00B81D4C" w:rsidP="007241FB">
      <w:pPr>
        <w:widowControl w:val="0"/>
        <w:autoSpaceDE w:val="0"/>
        <w:autoSpaceDN w:val="0"/>
        <w:adjustRightInd w:val="0"/>
        <w:ind w:left="2160" w:hanging="720"/>
      </w:pPr>
    </w:p>
    <w:p w:rsidR="007241FB" w:rsidRDefault="007241FB" w:rsidP="007241FB">
      <w:pPr>
        <w:widowControl w:val="0"/>
        <w:autoSpaceDE w:val="0"/>
        <w:autoSpaceDN w:val="0"/>
        <w:adjustRightInd w:val="0"/>
        <w:ind w:left="2160" w:hanging="720"/>
      </w:pPr>
      <w:r>
        <w:t>8)</w:t>
      </w:r>
      <w:r>
        <w:tab/>
        <w:t xml:space="preserve">Walkway </w:t>
      </w:r>
    </w:p>
    <w:p w:rsidR="007241FB" w:rsidRDefault="007241FB" w:rsidP="007241FB">
      <w:pPr>
        <w:widowControl w:val="0"/>
        <w:autoSpaceDE w:val="0"/>
        <w:autoSpaceDN w:val="0"/>
        <w:adjustRightInd w:val="0"/>
        <w:ind w:left="2160" w:hanging="720"/>
      </w:pPr>
      <w:r>
        <w:tab/>
        <w:t xml:space="preserve">A walkway along the length of the tank shall be provided. </w:t>
      </w:r>
    </w:p>
    <w:p w:rsidR="00B81D4C" w:rsidRDefault="00B81D4C" w:rsidP="007241FB">
      <w:pPr>
        <w:widowControl w:val="0"/>
        <w:autoSpaceDE w:val="0"/>
        <w:autoSpaceDN w:val="0"/>
        <w:adjustRightInd w:val="0"/>
        <w:ind w:left="1440" w:hanging="720"/>
      </w:pPr>
    </w:p>
    <w:p w:rsidR="007241FB" w:rsidRDefault="007241FB" w:rsidP="007241FB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Sludge Digestion Compartment Design </w:t>
      </w:r>
    </w:p>
    <w:p w:rsidR="00B81D4C" w:rsidRDefault="00B81D4C" w:rsidP="007241FB">
      <w:pPr>
        <w:widowControl w:val="0"/>
        <w:autoSpaceDE w:val="0"/>
        <w:autoSpaceDN w:val="0"/>
        <w:adjustRightInd w:val="0"/>
        <w:ind w:left="2160" w:hanging="720"/>
      </w:pPr>
    </w:p>
    <w:p w:rsidR="007241FB" w:rsidRDefault="007241FB" w:rsidP="007241FB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Digestion Chamber Capacity </w:t>
      </w:r>
    </w:p>
    <w:p w:rsidR="007241FB" w:rsidRDefault="007241FB" w:rsidP="007241FB">
      <w:pPr>
        <w:widowControl w:val="0"/>
        <w:autoSpaceDE w:val="0"/>
        <w:autoSpaceDN w:val="0"/>
        <w:adjustRightInd w:val="0"/>
        <w:ind w:left="2160" w:hanging="720"/>
      </w:pPr>
      <w:r>
        <w:tab/>
        <w:t xml:space="preserve">The digestion chamber shall provide 4 cubic feet of volume per capita for primary treatment and should provide 6 cubic feet of volume per capita if secondary process sludge is also to be digested.  The capacity shall be measured below a horizontal plane 18 inches below the settling chamber slot. </w:t>
      </w:r>
    </w:p>
    <w:p w:rsidR="00B81D4C" w:rsidRDefault="00B81D4C" w:rsidP="007241FB">
      <w:pPr>
        <w:widowControl w:val="0"/>
        <w:autoSpaceDE w:val="0"/>
        <w:autoSpaceDN w:val="0"/>
        <w:adjustRightInd w:val="0"/>
        <w:ind w:left="2160" w:hanging="720"/>
      </w:pPr>
    </w:p>
    <w:p w:rsidR="007241FB" w:rsidRDefault="007241FB" w:rsidP="007241FB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Vent Area </w:t>
      </w:r>
    </w:p>
    <w:p w:rsidR="007241FB" w:rsidRDefault="007241FB" w:rsidP="007241FB">
      <w:pPr>
        <w:widowControl w:val="0"/>
        <w:autoSpaceDE w:val="0"/>
        <w:autoSpaceDN w:val="0"/>
        <w:adjustRightInd w:val="0"/>
        <w:ind w:left="2160" w:hanging="720"/>
      </w:pPr>
      <w:r>
        <w:tab/>
        <w:t xml:space="preserve">A surface area equal to 20% of the total tank surface area shall be provided for venting the digestion compartment. </w:t>
      </w:r>
    </w:p>
    <w:p w:rsidR="00B81D4C" w:rsidRDefault="00B81D4C" w:rsidP="007241FB">
      <w:pPr>
        <w:widowControl w:val="0"/>
        <w:autoSpaceDE w:val="0"/>
        <w:autoSpaceDN w:val="0"/>
        <w:adjustRightInd w:val="0"/>
        <w:ind w:left="2160" w:hanging="720"/>
      </w:pPr>
    </w:p>
    <w:p w:rsidR="007241FB" w:rsidRDefault="007241FB" w:rsidP="007241FB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Hopper Slope </w:t>
      </w:r>
    </w:p>
    <w:p w:rsidR="007241FB" w:rsidRDefault="007241FB" w:rsidP="007241FB">
      <w:pPr>
        <w:widowControl w:val="0"/>
        <w:autoSpaceDE w:val="0"/>
        <w:autoSpaceDN w:val="0"/>
        <w:adjustRightInd w:val="0"/>
        <w:ind w:left="2160" w:hanging="720"/>
      </w:pPr>
      <w:r>
        <w:tab/>
        <w:t xml:space="preserve">The bottom of the digestion chamber should be a hopper type structure with minimum side slopes of 1.75 vertical to 1.0 horizontal.  Sludge draw-off from the digestion chamber is usually accomplished by utilizing the hydrostatic head with a minimum differential of 6 feet being required.  Eight inch diameter sludge draw-off piping or larger shall be used. </w:t>
      </w:r>
    </w:p>
    <w:p w:rsidR="007241FB" w:rsidRDefault="007241FB" w:rsidP="007241FB">
      <w:pPr>
        <w:widowControl w:val="0"/>
        <w:autoSpaceDE w:val="0"/>
        <w:autoSpaceDN w:val="0"/>
        <w:adjustRightInd w:val="0"/>
        <w:ind w:left="2160" w:hanging="720"/>
      </w:pPr>
    </w:p>
    <w:p w:rsidR="007241FB" w:rsidRDefault="007241FB" w:rsidP="007241FB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21 Ill. Reg. 12444, effective August 28, 1997) </w:t>
      </w:r>
    </w:p>
    <w:sectPr w:rsidR="007241FB" w:rsidSect="007241F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241FB"/>
    <w:rsid w:val="005B63B1"/>
    <w:rsid w:val="005C3366"/>
    <w:rsid w:val="007241FB"/>
    <w:rsid w:val="00891E57"/>
    <w:rsid w:val="00B81D4C"/>
    <w:rsid w:val="00C03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349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370</vt:lpstr>
    </vt:vector>
  </TitlesOfParts>
  <Company>General Assembly</Company>
  <LinksUpToDate>false</LinksUpToDate>
  <CharactersWithSpaces>2335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370</dc:title>
  <dc:subject/>
  <dc:creator>Illinois General Assembly</dc:creator>
  <cp:keywords/>
  <dc:description/>
  <cp:lastModifiedBy>Roberts, John</cp:lastModifiedBy>
  <cp:revision>3</cp:revision>
  <dcterms:created xsi:type="dcterms:W3CDTF">2012-06-21T20:42:00Z</dcterms:created>
  <dcterms:modified xsi:type="dcterms:W3CDTF">2012-06-21T20:42:00Z</dcterms:modified>
</cp:coreProperties>
</file>