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65" w:rsidRDefault="001B3965" w:rsidP="001B3965">
      <w:pPr>
        <w:widowControl w:val="0"/>
        <w:autoSpaceDE w:val="0"/>
        <w:autoSpaceDN w:val="0"/>
        <w:adjustRightInd w:val="0"/>
      </w:pPr>
      <w:bookmarkStart w:id="0" w:name="_GoBack"/>
      <w:bookmarkEnd w:id="0"/>
    </w:p>
    <w:p w:rsidR="001B3965" w:rsidRDefault="001B3965" w:rsidP="001B3965">
      <w:pPr>
        <w:widowControl w:val="0"/>
        <w:autoSpaceDE w:val="0"/>
        <w:autoSpaceDN w:val="0"/>
        <w:adjustRightInd w:val="0"/>
      </w:pPr>
      <w:r>
        <w:rPr>
          <w:b/>
          <w:bCs/>
        </w:rPr>
        <w:t>Section 366.205  A4 Factor (Assessment of Existing Facilities)</w:t>
      </w:r>
      <w:r>
        <w:t xml:space="preserve"> </w:t>
      </w:r>
    </w:p>
    <w:p w:rsidR="001B3965" w:rsidRDefault="001B3965" w:rsidP="001B3965">
      <w:pPr>
        <w:widowControl w:val="0"/>
        <w:autoSpaceDE w:val="0"/>
        <w:autoSpaceDN w:val="0"/>
        <w:adjustRightInd w:val="0"/>
      </w:pPr>
    </w:p>
    <w:p w:rsidR="001B3965" w:rsidRDefault="001B3965" w:rsidP="001B3965">
      <w:pPr>
        <w:widowControl w:val="0"/>
        <w:autoSpaceDE w:val="0"/>
        <w:autoSpaceDN w:val="0"/>
        <w:adjustRightInd w:val="0"/>
      </w:pPr>
      <w:r>
        <w:t xml:space="preserve">A4 is a factor that evaluates the need for the project in terms of its importance to the treatment works.  It is calculated as the product of three elements: (the objective assessment of the existing facilities) x (the degree of utilization) x (frequency of permit violations) = A4. </w:t>
      </w:r>
    </w:p>
    <w:p w:rsidR="00671792" w:rsidRDefault="00671792" w:rsidP="001B3965">
      <w:pPr>
        <w:widowControl w:val="0"/>
        <w:autoSpaceDE w:val="0"/>
        <w:autoSpaceDN w:val="0"/>
        <w:adjustRightInd w:val="0"/>
      </w:pPr>
    </w:p>
    <w:p w:rsidR="001B3965" w:rsidRDefault="001B3965" w:rsidP="001B3965">
      <w:pPr>
        <w:widowControl w:val="0"/>
        <w:autoSpaceDE w:val="0"/>
        <w:autoSpaceDN w:val="0"/>
        <w:adjustRightInd w:val="0"/>
        <w:ind w:left="1440" w:hanging="720"/>
      </w:pPr>
      <w:r>
        <w:t>a)</w:t>
      </w:r>
      <w:r>
        <w:tab/>
        <w:t xml:space="preserve">The objective assessment will be completed based on the approved facility planning and the Agency's verification of the facilities planning's finding in terms of the adequacy, age, structural and/or mechanical reliability of the existing treatment units.  The objective assessment for the particular project will be completed by the Agency prior to the completion of the facility planning.  (See Appendix B.) </w:t>
      </w:r>
    </w:p>
    <w:p w:rsidR="00671792" w:rsidRDefault="00671792" w:rsidP="001B3965">
      <w:pPr>
        <w:widowControl w:val="0"/>
        <w:autoSpaceDE w:val="0"/>
        <w:autoSpaceDN w:val="0"/>
        <w:adjustRightInd w:val="0"/>
        <w:ind w:left="1440" w:hanging="720"/>
      </w:pPr>
    </w:p>
    <w:p w:rsidR="001B3965" w:rsidRDefault="001B3965" w:rsidP="001B3965">
      <w:pPr>
        <w:widowControl w:val="0"/>
        <w:autoSpaceDE w:val="0"/>
        <w:autoSpaceDN w:val="0"/>
        <w:adjustRightInd w:val="0"/>
        <w:ind w:left="1440" w:hanging="720"/>
      </w:pPr>
      <w:r>
        <w:t>b)</w:t>
      </w:r>
      <w:r>
        <w:tab/>
        <w:t xml:space="preserve">The degree of utilization will be calculated as follows: </w:t>
      </w:r>
    </w:p>
    <w:p w:rsidR="00671792" w:rsidRDefault="00671792" w:rsidP="001B3965">
      <w:pPr>
        <w:widowControl w:val="0"/>
        <w:autoSpaceDE w:val="0"/>
        <w:autoSpaceDN w:val="0"/>
        <w:adjustRightInd w:val="0"/>
        <w:ind w:left="2160" w:hanging="720"/>
      </w:pPr>
    </w:p>
    <w:p w:rsidR="001B3965" w:rsidRDefault="001B3965" w:rsidP="001B3965">
      <w:pPr>
        <w:widowControl w:val="0"/>
        <w:autoSpaceDE w:val="0"/>
        <w:autoSpaceDN w:val="0"/>
        <w:adjustRightInd w:val="0"/>
        <w:ind w:left="2160" w:hanging="720"/>
      </w:pPr>
      <w:r>
        <w:t>1)</w:t>
      </w:r>
      <w:r>
        <w:tab/>
        <w:t xml:space="preserve">For wastewater treatment facilities, ratio of the existing load to the design load will be calculated for both hydraulic and organic load as follows: </w:t>
      </w:r>
    </w:p>
    <w:p w:rsidR="001B3965" w:rsidRDefault="001B3965" w:rsidP="001B3965">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3078"/>
        <w:gridCol w:w="741"/>
        <w:gridCol w:w="3483"/>
      </w:tblGrid>
      <w:tr w:rsidR="00646BEF">
        <w:tblPrEx>
          <w:tblCellMar>
            <w:top w:w="0" w:type="dxa"/>
            <w:bottom w:w="0" w:type="dxa"/>
          </w:tblCellMar>
        </w:tblPrEx>
        <w:tc>
          <w:tcPr>
            <w:tcW w:w="3078" w:type="dxa"/>
          </w:tcPr>
          <w:p w:rsidR="00646BEF" w:rsidRDefault="000C6CA3" w:rsidP="00646BEF">
            <w:pPr>
              <w:widowControl w:val="0"/>
              <w:autoSpaceDE w:val="0"/>
              <w:autoSpaceDN w:val="0"/>
              <w:adjustRightInd w:val="0"/>
              <w:jc w:val="center"/>
            </w:pPr>
            <w:r>
              <w:rPr>
                <w:u w:val="single"/>
              </w:rPr>
              <w:t>a</w:t>
            </w:r>
            <w:r w:rsidR="00646BEF">
              <w:rPr>
                <w:u w:val="single"/>
              </w:rPr>
              <w:t>verage organic load</w:t>
            </w:r>
          </w:p>
        </w:tc>
        <w:tc>
          <w:tcPr>
            <w:tcW w:w="741" w:type="dxa"/>
          </w:tcPr>
          <w:p w:rsidR="00646BEF" w:rsidRDefault="00646BEF" w:rsidP="00646BEF">
            <w:pPr>
              <w:widowControl w:val="0"/>
              <w:autoSpaceDE w:val="0"/>
              <w:autoSpaceDN w:val="0"/>
              <w:adjustRightInd w:val="0"/>
              <w:jc w:val="center"/>
            </w:pPr>
            <w:r>
              <w:t>or</w:t>
            </w:r>
          </w:p>
        </w:tc>
        <w:tc>
          <w:tcPr>
            <w:tcW w:w="3483" w:type="dxa"/>
          </w:tcPr>
          <w:p w:rsidR="00646BEF" w:rsidRDefault="00646BEF" w:rsidP="00646BEF">
            <w:pPr>
              <w:widowControl w:val="0"/>
              <w:autoSpaceDE w:val="0"/>
              <w:autoSpaceDN w:val="0"/>
              <w:adjustRightInd w:val="0"/>
              <w:jc w:val="center"/>
            </w:pPr>
            <w:r w:rsidRPr="00646BEF">
              <w:rPr>
                <w:u w:val="single"/>
              </w:rPr>
              <w:t xml:space="preserve">3 </w:t>
            </w:r>
            <w:r>
              <w:rPr>
                <w:u w:val="single"/>
              </w:rPr>
              <w:t>months low flow average</w:t>
            </w:r>
          </w:p>
        </w:tc>
      </w:tr>
      <w:tr w:rsidR="00646BEF">
        <w:tblPrEx>
          <w:tblCellMar>
            <w:top w:w="0" w:type="dxa"/>
            <w:bottom w:w="0" w:type="dxa"/>
          </w:tblCellMar>
        </w:tblPrEx>
        <w:tc>
          <w:tcPr>
            <w:tcW w:w="3078" w:type="dxa"/>
          </w:tcPr>
          <w:p w:rsidR="00646BEF" w:rsidRDefault="00646BEF" w:rsidP="00646BEF">
            <w:pPr>
              <w:widowControl w:val="0"/>
              <w:autoSpaceDE w:val="0"/>
              <w:autoSpaceDN w:val="0"/>
              <w:adjustRightInd w:val="0"/>
              <w:jc w:val="center"/>
            </w:pPr>
            <w:r>
              <w:t>organic design</w:t>
            </w:r>
          </w:p>
        </w:tc>
        <w:tc>
          <w:tcPr>
            <w:tcW w:w="741" w:type="dxa"/>
          </w:tcPr>
          <w:p w:rsidR="00646BEF" w:rsidRDefault="00646BEF" w:rsidP="00646BEF">
            <w:pPr>
              <w:widowControl w:val="0"/>
              <w:autoSpaceDE w:val="0"/>
              <w:autoSpaceDN w:val="0"/>
              <w:adjustRightInd w:val="0"/>
              <w:jc w:val="center"/>
            </w:pPr>
          </w:p>
        </w:tc>
        <w:tc>
          <w:tcPr>
            <w:tcW w:w="3483" w:type="dxa"/>
          </w:tcPr>
          <w:p w:rsidR="00646BEF" w:rsidRDefault="00646BEF" w:rsidP="00646BEF">
            <w:pPr>
              <w:widowControl w:val="0"/>
              <w:autoSpaceDE w:val="0"/>
              <w:autoSpaceDN w:val="0"/>
              <w:adjustRightInd w:val="0"/>
              <w:jc w:val="center"/>
            </w:pPr>
            <w:r>
              <w:t>hydraulic design</w:t>
            </w:r>
          </w:p>
        </w:tc>
      </w:tr>
    </w:tbl>
    <w:p w:rsidR="00646BEF" w:rsidRDefault="00646BEF" w:rsidP="00646BEF">
      <w:pPr>
        <w:widowControl w:val="0"/>
        <w:autoSpaceDE w:val="0"/>
        <w:autoSpaceDN w:val="0"/>
        <w:adjustRightInd w:val="0"/>
        <w:ind w:left="2160" w:hanging="720"/>
        <w:jc w:val="center"/>
      </w:pPr>
    </w:p>
    <w:p w:rsidR="001B3965" w:rsidRDefault="001B3965" w:rsidP="00646BEF">
      <w:pPr>
        <w:widowControl w:val="0"/>
        <w:autoSpaceDE w:val="0"/>
        <w:autoSpaceDN w:val="0"/>
        <w:adjustRightInd w:val="0"/>
        <w:ind w:left="2736"/>
      </w:pPr>
      <w:r>
        <w:t xml:space="preserve">The larger of the two ratios will be used in the A4 calculation. </w:t>
      </w:r>
    </w:p>
    <w:p w:rsidR="001B3965" w:rsidRDefault="001B3965" w:rsidP="001B3965">
      <w:pPr>
        <w:widowControl w:val="0"/>
        <w:autoSpaceDE w:val="0"/>
        <w:autoSpaceDN w:val="0"/>
        <w:adjustRightInd w:val="0"/>
        <w:ind w:left="2880" w:hanging="720"/>
      </w:pPr>
    </w:p>
    <w:tbl>
      <w:tblPr>
        <w:tblW w:w="0" w:type="auto"/>
        <w:tblInd w:w="1419" w:type="dxa"/>
        <w:tblLook w:val="0000" w:firstRow="0" w:lastRow="0" w:firstColumn="0" w:lastColumn="0" w:noHBand="0" w:noVBand="0"/>
      </w:tblPr>
      <w:tblGrid>
        <w:gridCol w:w="741"/>
        <w:gridCol w:w="4224"/>
        <w:gridCol w:w="2046"/>
      </w:tblGrid>
      <w:tr w:rsidR="00646BEF">
        <w:tblPrEx>
          <w:tblCellMar>
            <w:top w:w="0" w:type="dxa"/>
            <w:bottom w:w="0" w:type="dxa"/>
          </w:tblCellMar>
        </w:tblPrEx>
        <w:tc>
          <w:tcPr>
            <w:tcW w:w="741" w:type="dxa"/>
          </w:tcPr>
          <w:p w:rsidR="00646BEF" w:rsidRDefault="00646BEF" w:rsidP="001B3965">
            <w:pPr>
              <w:widowControl w:val="0"/>
              <w:autoSpaceDE w:val="0"/>
              <w:autoSpaceDN w:val="0"/>
              <w:adjustRightInd w:val="0"/>
            </w:pPr>
            <w:r>
              <w:t>2)</w:t>
            </w:r>
          </w:p>
        </w:tc>
        <w:tc>
          <w:tcPr>
            <w:tcW w:w="4224" w:type="dxa"/>
          </w:tcPr>
          <w:p w:rsidR="00646BEF" w:rsidRDefault="00646BEF" w:rsidP="001B3965">
            <w:pPr>
              <w:widowControl w:val="0"/>
              <w:autoSpaceDE w:val="0"/>
              <w:autoSpaceDN w:val="0"/>
              <w:adjustRightInd w:val="0"/>
            </w:pPr>
            <w:r>
              <w:t>For wastewater transportation facilities:</w:t>
            </w:r>
          </w:p>
        </w:tc>
        <w:tc>
          <w:tcPr>
            <w:tcW w:w="2046" w:type="dxa"/>
            <w:tcBorders>
              <w:bottom w:val="single" w:sz="4" w:space="0" w:color="auto"/>
            </w:tcBorders>
          </w:tcPr>
          <w:p w:rsidR="00646BEF" w:rsidRDefault="00646BEF" w:rsidP="00646BEF">
            <w:pPr>
              <w:widowControl w:val="0"/>
              <w:autoSpaceDE w:val="0"/>
              <w:autoSpaceDN w:val="0"/>
              <w:adjustRightInd w:val="0"/>
              <w:jc w:val="center"/>
            </w:pPr>
            <w:r>
              <w:t>existing peak flow</w:t>
            </w:r>
          </w:p>
        </w:tc>
      </w:tr>
      <w:tr w:rsidR="00646BEF">
        <w:tblPrEx>
          <w:tblCellMar>
            <w:top w:w="0" w:type="dxa"/>
            <w:bottom w:w="0" w:type="dxa"/>
          </w:tblCellMar>
        </w:tblPrEx>
        <w:tc>
          <w:tcPr>
            <w:tcW w:w="741" w:type="dxa"/>
          </w:tcPr>
          <w:p w:rsidR="00646BEF" w:rsidRDefault="00646BEF" w:rsidP="001B3965">
            <w:pPr>
              <w:widowControl w:val="0"/>
              <w:autoSpaceDE w:val="0"/>
              <w:autoSpaceDN w:val="0"/>
              <w:adjustRightInd w:val="0"/>
            </w:pPr>
          </w:p>
        </w:tc>
        <w:tc>
          <w:tcPr>
            <w:tcW w:w="4224" w:type="dxa"/>
          </w:tcPr>
          <w:p w:rsidR="00646BEF" w:rsidRDefault="00646BEF" w:rsidP="001B3965">
            <w:pPr>
              <w:widowControl w:val="0"/>
              <w:autoSpaceDE w:val="0"/>
              <w:autoSpaceDN w:val="0"/>
              <w:adjustRightInd w:val="0"/>
            </w:pPr>
          </w:p>
        </w:tc>
        <w:tc>
          <w:tcPr>
            <w:tcW w:w="2046" w:type="dxa"/>
            <w:tcBorders>
              <w:top w:val="single" w:sz="4" w:space="0" w:color="auto"/>
            </w:tcBorders>
          </w:tcPr>
          <w:p w:rsidR="00646BEF" w:rsidRDefault="00646BEF" w:rsidP="00646BEF">
            <w:pPr>
              <w:widowControl w:val="0"/>
              <w:autoSpaceDE w:val="0"/>
              <w:autoSpaceDN w:val="0"/>
              <w:adjustRightInd w:val="0"/>
              <w:jc w:val="center"/>
            </w:pPr>
            <w:r>
              <w:t>design peak</w:t>
            </w:r>
          </w:p>
        </w:tc>
      </w:tr>
    </w:tbl>
    <w:p w:rsidR="00646BEF" w:rsidRDefault="00646BEF" w:rsidP="001B3965">
      <w:pPr>
        <w:widowControl w:val="0"/>
        <w:autoSpaceDE w:val="0"/>
        <w:autoSpaceDN w:val="0"/>
        <w:adjustRightInd w:val="0"/>
        <w:ind w:left="2880" w:hanging="720"/>
      </w:pPr>
    </w:p>
    <w:p w:rsidR="001B3965" w:rsidRDefault="001B3965" w:rsidP="001B3965">
      <w:pPr>
        <w:widowControl w:val="0"/>
        <w:autoSpaceDE w:val="0"/>
        <w:autoSpaceDN w:val="0"/>
        <w:adjustRightInd w:val="0"/>
        <w:ind w:left="2160" w:hanging="720"/>
      </w:pPr>
      <w:r>
        <w:t>3)</w:t>
      </w:r>
      <w:r>
        <w:tab/>
        <w:t xml:space="preserve">Where relief sewer capacity is proposed, the degree of utilization will be calculated at the point in the treatment works where the greatest reserve capacity exists. </w:t>
      </w:r>
    </w:p>
    <w:p w:rsidR="00671792" w:rsidRDefault="00671792" w:rsidP="001B3965">
      <w:pPr>
        <w:widowControl w:val="0"/>
        <w:autoSpaceDE w:val="0"/>
        <w:autoSpaceDN w:val="0"/>
        <w:adjustRightInd w:val="0"/>
        <w:ind w:left="1440" w:hanging="720"/>
      </w:pPr>
    </w:p>
    <w:p w:rsidR="001B3965" w:rsidRDefault="001B3965" w:rsidP="001B3965">
      <w:pPr>
        <w:widowControl w:val="0"/>
        <w:autoSpaceDE w:val="0"/>
        <w:autoSpaceDN w:val="0"/>
        <w:adjustRightInd w:val="0"/>
        <w:ind w:left="1440" w:hanging="720"/>
      </w:pPr>
      <w:r>
        <w:t>c)</w:t>
      </w:r>
      <w:r>
        <w:tab/>
        <w:t xml:space="preserve">The permit </w:t>
      </w:r>
      <w:proofErr w:type="spellStart"/>
      <w:r>
        <w:t>exceedance</w:t>
      </w:r>
      <w:proofErr w:type="spellEnd"/>
      <w:r>
        <w:t xml:space="preserve"> element will be calculated as follows: </w:t>
      </w:r>
    </w:p>
    <w:p w:rsidR="00671792" w:rsidRDefault="00671792" w:rsidP="001B3965">
      <w:pPr>
        <w:widowControl w:val="0"/>
        <w:autoSpaceDE w:val="0"/>
        <w:autoSpaceDN w:val="0"/>
        <w:adjustRightInd w:val="0"/>
        <w:ind w:left="2160" w:hanging="720"/>
      </w:pPr>
    </w:p>
    <w:p w:rsidR="001B3965" w:rsidRDefault="001B3965" w:rsidP="001B3965">
      <w:pPr>
        <w:widowControl w:val="0"/>
        <w:autoSpaceDE w:val="0"/>
        <w:autoSpaceDN w:val="0"/>
        <w:adjustRightInd w:val="0"/>
        <w:ind w:left="2160" w:hanging="720"/>
      </w:pPr>
      <w:r>
        <w:t>1)</w:t>
      </w:r>
      <w:r>
        <w:tab/>
        <w:t xml:space="preserve">For wastewater treatment facilities, the permit </w:t>
      </w:r>
      <w:proofErr w:type="spellStart"/>
      <w:r>
        <w:t>exceedance</w:t>
      </w:r>
      <w:proofErr w:type="spellEnd"/>
      <w:r>
        <w:t xml:space="preserve"> element shall be based on monitoring report data for the previous calendar year as follows: </w:t>
      </w:r>
    </w:p>
    <w:p w:rsidR="001B3965" w:rsidRDefault="001B3965" w:rsidP="001B3965">
      <w:pPr>
        <w:widowControl w:val="0"/>
        <w:autoSpaceDE w:val="0"/>
        <w:autoSpaceDN w:val="0"/>
        <w:adjustRightInd w:val="0"/>
        <w:ind w:left="2160" w:hanging="720"/>
      </w:pPr>
    </w:p>
    <w:tbl>
      <w:tblPr>
        <w:tblW w:w="0" w:type="auto"/>
        <w:tblInd w:w="304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5062"/>
        <w:gridCol w:w="980"/>
      </w:tblGrid>
      <w:tr w:rsidR="00646BEF">
        <w:tblPrEx>
          <w:tblCellMar>
            <w:top w:w="0" w:type="dxa"/>
            <w:bottom w:w="0" w:type="dxa"/>
          </w:tblCellMar>
        </w:tblPrEx>
        <w:tc>
          <w:tcPr>
            <w:tcW w:w="5062" w:type="dxa"/>
            <w:tcBorders>
              <w:top w:val="nil"/>
              <w:left w:val="nil"/>
              <w:bottom w:val="single" w:sz="4" w:space="0" w:color="auto"/>
              <w:right w:val="nil"/>
            </w:tcBorders>
          </w:tcPr>
          <w:p w:rsidR="00646BEF" w:rsidRDefault="00646BEF" w:rsidP="00646BEF">
            <w:pPr>
              <w:widowControl w:val="0"/>
              <w:autoSpaceDE w:val="0"/>
              <w:autoSpaceDN w:val="0"/>
              <w:adjustRightInd w:val="0"/>
              <w:ind w:left="-366" w:right="-377"/>
            </w:pPr>
            <w:r>
              <w:t xml:space="preserve">number of months with a permit </w:t>
            </w:r>
            <w:proofErr w:type="spellStart"/>
            <w:r>
              <w:t>exceedance</w:t>
            </w:r>
            <w:proofErr w:type="spellEnd"/>
            <w:r>
              <w:t xml:space="preserve"> event</w:t>
            </w:r>
          </w:p>
        </w:tc>
        <w:tc>
          <w:tcPr>
            <w:tcW w:w="980" w:type="dxa"/>
            <w:vMerge w:val="restart"/>
            <w:tcBorders>
              <w:top w:val="nil"/>
              <w:left w:val="nil"/>
              <w:right w:val="nil"/>
            </w:tcBorders>
            <w:vAlign w:val="center"/>
          </w:tcPr>
          <w:p w:rsidR="00646BEF" w:rsidRDefault="00646BEF" w:rsidP="00646BEF">
            <w:pPr>
              <w:widowControl w:val="0"/>
              <w:autoSpaceDE w:val="0"/>
              <w:autoSpaceDN w:val="0"/>
              <w:adjustRightInd w:val="0"/>
              <w:ind w:left="-241" w:right="-1050"/>
            </w:pPr>
            <w:r>
              <w:t>+1</w:t>
            </w:r>
          </w:p>
        </w:tc>
      </w:tr>
      <w:tr w:rsidR="00646BEF">
        <w:tblPrEx>
          <w:tblCellMar>
            <w:top w:w="0" w:type="dxa"/>
            <w:bottom w:w="0" w:type="dxa"/>
          </w:tblCellMar>
        </w:tblPrEx>
        <w:tc>
          <w:tcPr>
            <w:tcW w:w="5062" w:type="dxa"/>
            <w:tcBorders>
              <w:top w:val="single" w:sz="4" w:space="0" w:color="auto"/>
              <w:left w:val="nil"/>
              <w:bottom w:val="nil"/>
              <w:right w:val="nil"/>
            </w:tcBorders>
          </w:tcPr>
          <w:p w:rsidR="00646BEF" w:rsidRDefault="00646BEF" w:rsidP="00646BEF">
            <w:pPr>
              <w:widowControl w:val="0"/>
              <w:autoSpaceDE w:val="0"/>
              <w:autoSpaceDN w:val="0"/>
              <w:adjustRightInd w:val="0"/>
              <w:ind w:left="-423" w:right="-320"/>
              <w:jc w:val="center"/>
            </w:pPr>
            <w:r>
              <w:t>number of months reported</w:t>
            </w:r>
          </w:p>
        </w:tc>
        <w:tc>
          <w:tcPr>
            <w:tcW w:w="980" w:type="dxa"/>
            <w:vMerge/>
            <w:tcBorders>
              <w:left w:val="nil"/>
              <w:bottom w:val="nil"/>
              <w:right w:val="nil"/>
            </w:tcBorders>
          </w:tcPr>
          <w:p w:rsidR="00646BEF" w:rsidRDefault="00646BEF" w:rsidP="001B3965">
            <w:pPr>
              <w:widowControl w:val="0"/>
              <w:autoSpaceDE w:val="0"/>
              <w:autoSpaceDN w:val="0"/>
              <w:adjustRightInd w:val="0"/>
            </w:pPr>
          </w:p>
        </w:tc>
      </w:tr>
    </w:tbl>
    <w:p w:rsidR="00646BEF" w:rsidRDefault="00646BEF" w:rsidP="001B3965">
      <w:pPr>
        <w:widowControl w:val="0"/>
        <w:autoSpaceDE w:val="0"/>
        <w:autoSpaceDN w:val="0"/>
        <w:adjustRightInd w:val="0"/>
        <w:ind w:left="2160" w:hanging="720"/>
      </w:pPr>
    </w:p>
    <w:p w:rsidR="001B3965" w:rsidRDefault="001B3965" w:rsidP="00646BEF">
      <w:pPr>
        <w:widowControl w:val="0"/>
        <w:autoSpaceDE w:val="0"/>
        <w:autoSpaceDN w:val="0"/>
        <w:adjustRightInd w:val="0"/>
        <w:ind w:left="2160" w:firstLine="6"/>
      </w:pPr>
      <w:r>
        <w:t xml:space="preserve">Where: </w:t>
      </w:r>
    </w:p>
    <w:p w:rsidR="00646BEF" w:rsidRDefault="00646BEF" w:rsidP="00646BEF">
      <w:pPr>
        <w:widowControl w:val="0"/>
        <w:autoSpaceDE w:val="0"/>
        <w:autoSpaceDN w:val="0"/>
        <w:adjustRightInd w:val="0"/>
        <w:ind w:left="2160" w:firstLine="6"/>
      </w:pPr>
    </w:p>
    <w:p w:rsidR="001B3965" w:rsidRDefault="001B3965" w:rsidP="001B3965">
      <w:pPr>
        <w:widowControl w:val="0"/>
        <w:autoSpaceDE w:val="0"/>
        <w:autoSpaceDN w:val="0"/>
        <w:adjustRightInd w:val="0"/>
        <w:ind w:left="2880" w:hanging="720"/>
      </w:pPr>
      <w:r>
        <w:t>A)</w:t>
      </w:r>
      <w:r>
        <w:tab/>
        <w:t xml:space="preserve">BOD, suspended solids or phosphorus exceed the monthly limits or; </w:t>
      </w:r>
    </w:p>
    <w:p w:rsidR="00671792" w:rsidRDefault="00671792" w:rsidP="001B3965">
      <w:pPr>
        <w:widowControl w:val="0"/>
        <w:autoSpaceDE w:val="0"/>
        <w:autoSpaceDN w:val="0"/>
        <w:adjustRightInd w:val="0"/>
        <w:ind w:left="2880" w:hanging="720"/>
      </w:pPr>
    </w:p>
    <w:p w:rsidR="001B3965" w:rsidRDefault="001B3965" w:rsidP="001B3965">
      <w:pPr>
        <w:widowControl w:val="0"/>
        <w:autoSpaceDE w:val="0"/>
        <w:autoSpaceDN w:val="0"/>
        <w:adjustRightInd w:val="0"/>
        <w:ind w:left="2880" w:hanging="720"/>
      </w:pPr>
      <w:r>
        <w:t>B)</w:t>
      </w:r>
      <w:r>
        <w:tab/>
        <w:t xml:space="preserve">Ammonia nitrogen, chlorine or toxics exceed the monthly or maximum limit as specified in the permit. </w:t>
      </w:r>
    </w:p>
    <w:p w:rsidR="00646BEF" w:rsidRDefault="00646BEF" w:rsidP="001B3965">
      <w:pPr>
        <w:widowControl w:val="0"/>
        <w:autoSpaceDE w:val="0"/>
        <w:autoSpaceDN w:val="0"/>
        <w:adjustRightInd w:val="0"/>
        <w:ind w:left="2880" w:hanging="720"/>
      </w:pPr>
    </w:p>
    <w:p w:rsidR="001B3965" w:rsidRDefault="001B3965" w:rsidP="00646BEF">
      <w:pPr>
        <w:widowControl w:val="0"/>
        <w:autoSpaceDE w:val="0"/>
        <w:autoSpaceDN w:val="0"/>
        <w:adjustRightInd w:val="0"/>
        <w:ind w:left="2160"/>
      </w:pPr>
      <w:r>
        <w:t xml:space="preserve">The permit </w:t>
      </w:r>
      <w:proofErr w:type="spellStart"/>
      <w:r>
        <w:t>exceedance</w:t>
      </w:r>
      <w:proofErr w:type="spellEnd"/>
      <w:r>
        <w:t xml:space="preserve"> element shall be based on the single parameter that is addressed by the project with the greatest ratio of permit </w:t>
      </w:r>
      <w:proofErr w:type="spellStart"/>
      <w:r>
        <w:t>exceedance</w:t>
      </w:r>
      <w:proofErr w:type="spellEnd"/>
      <w:r>
        <w:t xml:space="preserve">; or </w:t>
      </w:r>
    </w:p>
    <w:p w:rsidR="00646BEF" w:rsidRDefault="001B3965" w:rsidP="001B3965">
      <w:pPr>
        <w:widowControl w:val="0"/>
        <w:autoSpaceDE w:val="0"/>
        <w:autoSpaceDN w:val="0"/>
        <w:adjustRightInd w:val="0"/>
        <w:ind w:left="2160" w:hanging="720"/>
      </w:pPr>
      <w:r>
        <w:t>2)</w:t>
      </w:r>
      <w:r>
        <w:tab/>
        <w:t>For sewer system improvements an alternate calculation will be utilized as follows based on the information in the approved facility planning:</w:t>
      </w:r>
    </w:p>
    <w:p w:rsidR="001B3965" w:rsidRDefault="001B3965" w:rsidP="001B3965">
      <w:pPr>
        <w:widowControl w:val="0"/>
        <w:autoSpaceDE w:val="0"/>
        <w:autoSpaceDN w:val="0"/>
        <w:adjustRightInd w:val="0"/>
        <w:ind w:left="2160" w:hanging="720"/>
      </w:pPr>
    </w:p>
    <w:p w:rsidR="001B3965" w:rsidRDefault="001B3965" w:rsidP="00646BEF">
      <w:pPr>
        <w:widowControl w:val="0"/>
        <w:autoSpaceDE w:val="0"/>
        <w:autoSpaceDN w:val="0"/>
        <w:adjustRightInd w:val="0"/>
        <w:ind w:left="2880" w:hanging="30"/>
      </w:pPr>
      <w:r>
        <w:t xml:space="preserve">For overflow and/or bypass events, number of occurrences in last year: </w:t>
      </w:r>
    </w:p>
    <w:p w:rsidR="00646BEF" w:rsidRDefault="00646BEF" w:rsidP="00646BEF">
      <w:pPr>
        <w:widowControl w:val="0"/>
        <w:autoSpaceDE w:val="0"/>
        <w:autoSpaceDN w:val="0"/>
        <w:adjustRightInd w:val="0"/>
        <w:ind w:left="2880" w:hanging="30"/>
      </w:pPr>
    </w:p>
    <w:tbl>
      <w:tblPr>
        <w:tblW w:w="0" w:type="auto"/>
        <w:tblInd w:w="3585" w:type="dxa"/>
        <w:tblLook w:val="0000" w:firstRow="0" w:lastRow="0" w:firstColumn="0" w:lastColumn="0" w:noHBand="0" w:noVBand="0"/>
      </w:tblPr>
      <w:tblGrid>
        <w:gridCol w:w="855"/>
        <w:gridCol w:w="399"/>
        <w:gridCol w:w="4737"/>
      </w:tblGrid>
      <w:tr w:rsidR="00646BEF">
        <w:tblPrEx>
          <w:tblCellMar>
            <w:top w:w="0" w:type="dxa"/>
            <w:bottom w:w="0" w:type="dxa"/>
          </w:tblCellMar>
        </w:tblPrEx>
        <w:tc>
          <w:tcPr>
            <w:tcW w:w="855" w:type="dxa"/>
          </w:tcPr>
          <w:p w:rsidR="00646BEF" w:rsidRDefault="00646BEF" w:rsidP="00646BEF">
            <w:pPr>
              <w:widowControl w:val="0"/>
              <w:autoSpaceDE w:val="0"/>
              <w:autoSpaceDN w:val="0"/>
              <w:adjustRightInd w:val="0"/>
            </w:pPr>
            <w:r>
              <w:t>0-5</w:t>
            </w:r>
          </w:p>
        </w:tc>
        <w:tc>
          <w:tcPr>
            <w:tcW w:w="399" w:type="dxa"/>
          </w:tcPr>
          <w:p w:rsidR="00646BEF" w:rsidRDefault="00646BEF" w:rsidP="00646BEF">
            <w:pPr>
              <w:widowControl w:val="0"/>
              <w:autoSpaceDE w:val="0"/>
              <w:autoSpaceDN w:val="0"/>
              <w:adjustRightInd w:val="0"/>
            </w:pPr>
            <w:r>
              <w:t>=</w:t>
            </w:r>
          </w:p>
        </w:tc>
        <w:tc>
          <w:tcPr>
            <w:tcW w:w="4737" w:type="dxa"/>
          </w:tcPr>
          <w:p w:rsidR="00646BEF" w:rsidRDefault="00646BEF" w:rsidP="00646BEF">
            <w:pPr>
              <w:widowControl w:val="0"/>
              <w:autoSpaceDE w:val="0"/>
              <w:autoSpaceDN w:val="0"/>
              <w:adjustRightInd w:val="0"/>
            </w:pPr>
            <w:r>
              <w:t>1.2;</w:t>
            </w:r>
          </w:p>
        </w:tc>
      </w:tr>
      <w:tr w:rsidR="00646BEF">
        <w:tblPrEx>
          <w:tblCellMar>
            <w:top w:w="0" w:type="dxa"/>
            <w:bottom w:w="0" w:type="dxa"/>
          </w:tblCellMar>
        </w:tblPrEx>
        <w:tc>
          <w:tcPr>
            <w:tcW w:w="855" w:type="dxa"/>
          </w:tcPr>
          <w:p w:rsidR="00646BEF" w:rsidRDefault="00646BEF" w:rsidP="00646BEF">
            <w:pPr>
              <w:widowControl w:val="0"/>
              <w:autoSpaceDE w:val="0"/>
              <w:autoSpaceDN w:val="0"/>
              <w:adjustRightInd w:val="0"/>
            </w:pPr>
            <w:r>
              <w:t>6-10</w:t>
            </w:r>
          </w:p>
        </w:tc>
        <w:tc>
          <w:tcPr>
            <w:tcW w:w="399" w:type="dxa"/>
          </w:tcPr>
          <w:p w:rsidR="00646BEF" w:rsidRDefault="00646BEF" w:rsidP="00646BEF">
            <w:pPr>
              <w:widowControl w:val="0"/>
              <w:autoSpaceDE w:val="0"/>
              <w:autoSpaceDN w:val="0"/>
              <w:adjustRightInd w:val="0"/>
            </w:pPr>
            <w:r>
              <w:t>=</w:t>
            </w:r>
          </w:p>
        </w:tc>
        <w:tc>
          <w:tcPr>
            <w:tcW w:w="4737" w:type="dxa"/>
          </w:tcPr>
          <w:p w:rsidR="00646BEF" w:rsidRDefault="00646BEF" w:rsidP="00646BEF">
            <w:pPr>
              <w:widowControl w:val="0"/>
              <w:autoSpaceDE w:val="0"/>
              <w:autoSpaceDN w:val="0"/>
              <w:adjustRightInd w:val="0"/>
            </w:pPr>
            <w:r>
              <w:t>1.4;</w:t>
            </w:r>
          </w:p>
        </w:tc>
      </w:tr>
      <w:tr w:rsidR="00646BEF">
        <w:tblPrEx>
          <w:tblCellMar>
            <w:top w:w="0" w:type="dxa"/>
            <w:bottom w:w="0" w:type="dxa"/>
          </w:tblCellMar>
        </w:tblPrEx>
        <w:tc>
          <w:tcPr>
            <w:tcW w:w="855" w:type="dxa"/>
          </w:tcPr>
          <w:p w:rsidR="00646BEF" w:rsidRDefault="00646BEF" w:rsidP="00646BEF">
            <w:pPr>
              <w:widowControl w:val="0"/>
              <w:autoSpaceDE w:val="0"/>
              <w:autoSpaceDN w:val="0"/>
              <w:adjustRightInd w:val="0"/>
            </w:pPr>
            <w:r>
              <w:t>11-15</w:t>
            </w:r>
          </w:p>
        </w:tc>
        <w:tc>
          <w:tcPr>
            <w:tcW w:w="399" w:type="dxa"/>
          </w:tcPr>
          <w:p w:rsidR="00646BEF" w:rsidRDefault="00646BEF" w:rsidP="00646BEF">
            <w:pPr>
              <w:widowControl w:val="0"/>
              <w:autoSpaceDE w:val="0"/>
              <w:autoSpaceDN w:val="0"/>
              <w:adjustRightInd w:val="0"/>
            </w:pPr>
            <w:r>
              <w:t>=</w:t>
            </w:r>
          </w:p>
        </w:tc>
        <w:tc>
          <w:tcPr>
            <w:tcW w:w="4737" w:type="dxa"/>
          </w:tcPr>
          <w:p w:rsidR="00646BEF" w:rsidRDefault="00646BEF" w:rsidP="00646BEF">
            <w:pPr>
              <w:widowControl w:val="0"/>
              <w:autoSpaceDE w:val="0"/>
              <w:autoSpaceDN w:val="0"/>
              <w:adjustRightInd w:val="0"/>
            </w:pPr>
            <w:r>
              <w:t>1.6;</w:t>
            </w:r>
          </w:p>
        </w:tc>
      </w:tr>
      <w:tr w:rsidR="00646BEF">
        <w:tblPrEx>
          <w:tblCellMar>
            <w:top w:w="0" w:type="dxa"/>
            <w:bottom w:w="0" w:type="dxa"/>
          </w:tblCellMar>
        </w:tblPrEx>
        <w:tc>
          <w:tcPr>
            <w:tcW w:w="855" w:type="dxa"/>
          </w:tcPr>
          <w:p w:rsidR="00646BEF" w:rsidRDefault="00646BEF" w:rsidP="00646BEF">
            <w:pPr>
              <w:widowControl w:val="0"/>
              <w:autoSpaceDE w:val="0"/>
              <w:autoSpaceDN w:val="0"/>
              <w:adjustRightInd w:val="0"/>
            </w:pPr>
            <w:r>
              <w:t>16-20</w:t>
            </w:r>
          </w:p>
        </w:tc>
        <w:tc>
          <w:tcPr>
            <w:tcW w:w="399" w:type="dxa"/>
          </w:tcPr>
          <w:p w:rsidR="00646BEF" w:rsidRDefault="00646BEF" w:rsidP="00646BEF">
            <w:pPr>
              <w:widowControl w:val="0"/>
              <w:autoSpaceDE w:val="0"/>
              <w:autoSpaceDN w:val="0"/>
              <w:adjustRightInd w:val="0"/>
            </w:pPr>
            <w:r>
              <w:t>=</w:t>
            </w:r>
          </w:p>
        </w:tc>
        <w:tc>
          <w:tcPr>
            <w:tcW w:w="4737" w:type="dxa"/>
          </w:tcPr>
          <w:p w:rsidR="00646BEF" w:rsidRDefault="00646BEF" w:rsidP="00646BEF">
            <w:pPr>
              <w:widowControl w:val="0"/>
              <w:autoSpaceDE w:val="0"/>
              <w:autoSpaceDN w:val="0"/>
              <w:adjustRightInd w:val="0"/>
            </w:pPr>
            <w:r>
              <w:t>1.8;</w:t>
            </w:r>
          </w:p>
        </w:tc>
      </w:tr>
      <w:tr w:rsidR="00646BEF">
        <w:tblPrEx>
          <w:tblCellMar>
            <w:top w:w="0" w:type="dxa"/>
            <w:bottom w:w="0" w:type="dxa"/>
          </w:tblCellMar>
        </w:tblPrEx>
        <w:tc>
          <w:tcPr>
            <w:tcW w:w="855" w:type="dxa"/>
          </w:tcPr>
          <w:p w:rsidR="00646BEF" w:rsidRDefault="00646BEF" w:rsidP="00646BEF">
            <w:pPr>
              <w:widowControl w:val="0"/>
              <w:autoSpaceDE w:val="0"/>
              <w:autoSpaceDN w:val="0"/>
              <w:adjustRightInd w:val="0"/>
            </w:pPr>
            <w:r>
              <w:t>&gt;20</w:t>
            </w:r>
          </w:p>
        </w:tc>
        <w:tc>
          <w:tcPr>
            <w:tcW w:w="399" w:type="dxa"/>
          </w:tcPr>
          <w:p w:rsidR="00646BEF" w:rsidRDefault="00646BEF" w:rsidP="00646BEF">
            <w:pPr>
              <w:widowControl w:val="0"/>
              <w:autoSpaceDE w:val="0"/>
              <w:autoSpaceDN w:val="0"/>
              <w:adjustRightInd w:val="0"/>
            </w:pPr>
            <w:r>
              <w:t>=</w:t>
            </w:r>
          </w:p>
        </w:tc>
        <w:tc>
          <w:tcPr>
            <w:tcW w:w="4737" w:type="dxa"/>
          </w:tcPr>
          <w:p w:rsidR="00646BEF" w:rsidRDefault="00646BEF" w:rsidP="00646BEF">
            <w:pPr>
              <w:widowControl w:val="0"/>
              <w:autoSpaceDE w:val="0"/>
              <w:autoSpaceDN w:val="0"/>
              <w:adjustRightInd w:val="0"/>
            </w:pPr>
            <w:r>
              <w:t>2.0;</w:t>
            </w:r>
          </w:p>
        </w:tc>
      </w:tr>
    </w:tbl>
    <w:p w:rsidR="00646BEF" w:rsidRDefault="00646BEF" w:rsidP="00646BEF">
      <w:pPr>
        <w:widowControl w:val="0"/>
        <w:autoSpaceDE w:val="0"/>
        <w:autoSpaceDN w:val="0"/>
        <w:adjustRightInd w:val="0"/>
        <w:ind w:left="2880"/>
      </w:pPr>
    </w:p>
    <w:p w:rsidR="006B1D46" w:rsidRDefault="006B1D46" w:rsidP="00646BEF">
      <w:pPr>
        <w:widowControl w:val="0"/>
        <w:autoSpaceDE w:val="0"/>
        <w:autoSpaceDN w:val="0"/>
        <w:adjustRightInd w:val="0"/>
        <w:ind w:left="2880"/>
      </w:pPr>
      <w:r>
        <w:t>or</w:t>
      </w:r>
    </w:p>
    <w:p w:rsidR="001B3965" w:rsidRDefault="001B3965" w:rsidP="001B3965">
      <w:pPr>
        <w:widowControl w:val="0"/>
        <w:autoSpaceDE w:val="0"/>
        <w:autoSpaceDN w:val="0"/>
        <w:adjustRightInd w:val="0"/>
        <w:ind w:left="2160" w:hanging="720"/>
      </w:pPr>
      <w:r>
        <w:t>3)</w:t>
      </w:r>
      <w:r>
        <w:tab/>
        <w:t xml:space="preserve">For basement back-ups the frequency and the number of affected basements will be used (number x frequency). </w:t>
      </w:r>
    </w:p>
    <w:p w:rsidR="00671792" w:rsidRDefault="00671792" w:rsidP="001B3965">
      <w:pPr>
        <w:widowControl w:val="0"/>
        <w:autoSpaceDE w:val="0"/>
        <w:autoSpaceDN w:val="0"/>
        <w:adjustRightInd w:val="0"/>
        <w:ind w:left="2880" w:hanging="720"/>
      </w:pPr>
    </w:p>
    <w:p w:rsidR="001B3965" w:rsidRDefault="001B3965" w:rsidP="001B3965">
      <w:pPr>
        <w:widowControl w:val="0"/>
        <w:autoSpaceDE w:val="0"/>
        <w:autoSpaceDN w:val="0"/>
        <w:adjustRightInd w:val="0"/>
        <w:ind w:left="2880" w:hanging="720"/>
      </w:pPr>
      <w:r>
        <w:t>A)</w:t>
      </w:r>
      <w:r>
        <w:tab/>
        <w:t xml:space="preserve">Average number of basements affected per occurrence: </w:t>
      </w:r>
    </w:p>
    <w:p w:rsidR="006B1D46" w:rsidRDefault="006B1D46" w:rsidP="001B3965">
      <w:pPr>
        <w:widowControl w:val="0"/>
        <w:autoSpaceDE w:val="0"/>
        <w:autoSpaceDN w:val="0"/>
        <w:adjustRightInd w:val="0"/>
        <w:ind w:left="2880" w:hanging="720"/>
      </w:pPr>
    </w:p>
    <w:tbl>
      <w:tblPr>
        <w:tblW w:w="0" w:type="auto"/>
        <w:tblInd w:w="3585" w:type="dxa"/>
        <w:tblLook w:val="0000" w:firstRow="0" w:lastRow="0" w:firstColumn="0" w:lastColumn="0" w:noHBand="0" w:noVBand="0"/>
      </w:tblPr>
      <w:tblGrid>
        <w:gridCol w:w="912"/>
        <w:gridCol w:w="399"/>
        <w:gridCol w:w="4680"/>
      </w:tblGrid>
      <w:tr w:rsidR="006B1D46">
        <w:tblPrEx>
          <w:tblCellMar>
            <w:top w:w="0" w:type="dxa"/>
            <w:bottom w:w="0" w:type="dxa"/>
          </w:tblCellMar>
        </w:tblPrEx>
        <w:tc>
          <w:tcPr>
            <w:tcW w:w="912" w:type="dxa"/>
          </w:tcPr>
          <w:p w:rsidR="006B1D46" w:rsidRDefault="006B1D46" w:rsidP="00431768">
            <w:pPr>
              <w:widowControl w:val="0"/>
              <w:autoSpaceDE w:val="0"/>
              <w:autoSpaceDN w:val="0"/>
              <w:adjustRightInd w:val="0"/>
            </w:pPr>
            <w:r>
              <w:t>0-10</w:t>
            </w:r>
          </w:p>
        </w:tc>
        <w:tc>
          <w:tcPr>
            <w:tcW w:w="399" w:type="dxa"/>
          </w:tcPr>
          <w:p w:rsidR="006B1D46" w:rsidRDefault="006B1D46" w:rsidP="00431768">
            <w:pPr>
              <w:widowControl w:val="0"/>
              <w:autoSpaceDE w:val="0"/>
              <w:autoSpaceDN w:val="0"/>
              <w:adjustRightInd w:val="0"/>
            </w:pPr>
            <w:r>
              <w:t>=</w:t>
            </w:r>
          </w:p>
        </w:tc>
        <w:tc>
          <w:tcPr>
            <w:tcW w:w="4680" w:type="dxa"/>
          </w:tcPr>
          <w:p w:rsidR="006B1D46" w:rsidRDefault="006B1D46" w:rsidP="00431768">
            <w:pPr>
              <w:widowControl w:val="0"/>
              <w:autoSpaceDE w:val="0"/>
              <w:autoSpaceDN w:val="0"/>
              <w:adjustRightInd w:val="0"/>
            </w:pPr>
            <w:r>
              <w:t>1.1;</w:t>
            </w:r>
          </w:p>
        </w:tc>
      </w:tr>
      <w:tr w:rsidR="006B1D46">
        <w:tblPrEx>
          <w:tblCellMar>
            <w:top w:w="0" w:type="dxa"/>
            <w:bottom w:w="0" w:type="dxa"/>
          </w:tblCellMar>
        </w:tblPrEx>
        <w:tc>
          <w:tcPr>
            <w:tcW w:w="912" w:type="dxa"/>
          </w:tcPr>
          <w:p w:rsidR="006B1D46" w:rsidRDefault="006B1D46" w:rsidP="00431768">
            <w:pPr>
              <w:widowControl w:val="0"/>
              <w:autoSpaceDE w:val="0"/>
              <w:autoSpaceDN w:val="0"/>
              <w:adjustRightInd w:val="0"/>
            </w:pPr>
            <w:r>
              <w:t>11-20</w:t>
            </w:r>
          </w:p>
        </w:tc>
        <w:tc>
          <w:tcPr>
            <w:tcW w:w="399" w:type="dxa"/>
          </w:tcPr>
          <w:p w:rsidR="006B1D46" w:rsidRDefault="006B1D46" w:rsidP="00431768">
            <w:pPr>
              <w:widowControl w:val="0"/>
              <w:autoSpaceDE w:val="0"/>
              <w:autoSpaceDN w:val="0"/>
              <w:adjustRightInd w:val="0"/>
            </w:pPr>
            <w:r>
              <w:t>=</w:t>
            </w:r>
          </w:p>
        </w:tc>
        <w:tc>
          <w:tcPr>
            <w:tcW w:w="4680" w:type="dxa"/>
          </w:tcPr>
          <w:p w:rsidR="006B1D46" w:rsidRDefault="006B1D46" w:rsidP="00431768">
            <w:pPr>
              <w:widowControl w:val="0"/>
              <w:autoSpaceDE w:val="0"/>
              <w:autoSpaceDN w:val="0"/>
              <w:adjustRightInd w:val="0"/>
            </w:pPr>
            <w:r>
              <w:t>1.2;</w:t>
            </w:r>
          </w:p>
        </w:tc>
      </w:tr>
      <w:tr w:rsidR="006B1D46">
        <w:tblPrEx>
          <w:tblCellMar>
            <w:top w:w="0" w:type="dxa"/>
            <w:bottom w:w="0" w:type="dxa"/>
          </w:tblCellMar>
        </w:tblPrEx>
        <w:tc>
          <w:tcPr>
            <w:tcW w:w="912" w:type="dxa"/>
          </w:tcPr>
          <w:p w:rsidR="006B1D46" w:rsidRDefault="006B1D46" w:rsidP="00431768">
            <w:pPr>
              <w:widowControl w:val="0"/>
              <w:autoSpaceDE w:val="0"/>
              <w:autoSpaceDN w:val="0"/>
              <w:adjustRightInd w:val="0"/>
            </w:pPr>
            <w:r>
              <w:t>21-50</w:t>
            </w:r>
          </w:p>
        </w:tc>
        <w:tc>
          <w:tcPr>
            <w:tcW w:w="399" w:type="dxa"/>
          </w:tcPr>
          <w:p w:rsidR="006B1D46" w:rsidRDefault="006B1D46" w:rsidP="00431768">
            <w:pPr>
              <w:widowControl w:val="0"/>
              <w:autoSpaceDE w:val="0"/>
              <w:autoSpaceDN w:val="0"/>
              <w:adjustRightInd w:val="0"/>
            </w:pPr>
            <w:r>
              <w:t>=</w:t>
            </w:r>
          </w:p>
        </w:tc>
        <w:tc>
          <w:tcPr>
            <w:tcW w:w="4680" w:type="dxa"/>
          </w:tcPr>
          <w:p w:rsidR="006B1D46" w:rsidRDefault="006B1D46" w:rsidP="00431768">
            <w:pPr>
              <w:widowControl w:val="0"/>
              <w:autoSpaceDE w:val="0"/>
              <w:autoSpaceDN w:val="0"/>
              <w:adjustRightInd w:val="0"/>
            </w:pPr>
            <w:r>
              <w:t>1.3;</w:t>
            </w:r>
          </w:p>
        </w:tc>
      </w:tr>
      <w:tr w:rsidR="006B1D46">
        <w:tblPrEx>
          <w:tblCellMar>
            <w:top w:w="0" w:type="dxa"/>
            <w:bottom w:w="0" w:type="dxa"/>
          </w:tblCellMar>
        </w:tblPrEx>
        <w:tc>
          <w:tcPr>
            <w:tcW w:w="912" w:type="dxa"/>
          </w:tcPr>
          <w:p w:rsidR="006B1D46" w:rsidRDefault="006B1D46" w:rsidP="00431768">
            <w:pPr>
              <w:widowControl w:val="0"/>
              <w:autoSpaceDE w:val="0"/>
              <w:autoSpaceDN w:val="0"/>
              <w:adjustRightInd w:val="0"/>
            </w:pPr>
            <w:r>
              <w:t>51-100</w:t>
            </w:r>
          </w:p>
        </w:tc>
        <w:tc>
          <w:tcPr>
            <w:tcW w:w="399" w:type="dxa"/>
          </w:tcPr>
          <w:p w:rsidR="006B1D46" w:rsidRDefault="006B1D46" w:rsidP="00431768">
            <w:pPr>
              <w:widowControl w:val="0"/>
              <w:autoSpaceDE w:val="0"/>
              <w:autoSpaceDN w:val="0"/>
              <w:adjustRightInd w:val="0"/>
            </w:pPr>
            <w:r>
              <w:t>=</w:t>
            </w:r>
          </w:p>
        </w:tc>
        <w:tc>
          <w:tcPr>
            <w:tcW w:w="4680" w:type="dxa"/>
          </w:tcPr>
          <w:p w:rsidR="006B1D46" w:rsidRDefault="006B1D46" w:rsidP="00431768">
            <w:pPr>
              <w:widowControl w:val="0"/>
              <w:autoSpaceDE w:val="0"/>
              <w:autoSpaceDN w:val="0"/>
              <w:adjustRightInd w:val="0"/>
            </w:pPr>
            <w:r>
              <w:t>1.4;</w:t>
            </w:r>
          </w:p>
        </w:tc>
      </w:tr>
      <w:tr w:rsidR="006B1D46">
        <w:tblPrEx>
          <w:tblCellMar>
            <w:top w:w="0" w:type="dxa"/>
            <w:bottom w:w="0" w:type="dxa"/>
          </w:tblCellMar>
        </w:tblPrEx>
        <w:tc>
          <w:tcPr>
            <w:tcW w:w="912" w:type="dxa"/>
          </w:tcPr>
          <w:p w:rsidR="006B1D46" w:rsidRDefault="006B1D46" w:rsidP="00431768">
            <w:pPr>
              <w:widowControl w:val="0"/>
              <w:autoSpaceDE w:val="0"/>
              <w:autoSpaceDN w:val="0"/>
              <w:adjustRightInd w:val="0"/>
            </w:pPr>
            <w:r>
              <w:t>&gt;100</w:t>
            </w:r>
          </w:p>
        </w:tc>
        <w:tc>
          <w:tcPr>
            <w:tcW w:w="399" w:type="dxa"/>
          </w:tcPr>
          <w:p w:rsidR="006B1D46" w:rsidRDefault="006B1D46" w:rsidP="00431768">
            <w:pPr>
              <w:widowControl w:val="0"/>
              <w:autoSpaceDE w:val="0"/>
              <w:autoSpaceDN w:val="0"/>
              <w:adjustRightInd w:val="0"/>
            </w:pPr>
            <w:r>
              <w:t>=</w:t>
            </w:r>
          </w:p>
        </w:tc>
        <w:tc>
          <w:tcPr>
            <w:tcW w:w="4680" w:type="dxa"/>
          </w:tcPr>
          <w:p w:rsidR="006B1D46" w:rsidRDefault="006B1D46" w:rsidP="00431768">
            <w:pPr>
              <w:widowControl w:val="0"/>
              <w:autoSpaceDE w:val="0"/>
              <w:autoSpaceDN w:val="0"/>
              <w:adjustRightInd w:val="0"/>
            </w:pPr>
            <w:r>
              <w:t>1.5.</w:t>
            </w:r>
          </w:p>
        </w:tc>
      </w:tr>
    </w:tbl>
    <w:p w:rsidR="001B3965" w:rsidRDefault="001B3965" w:rsidP="001B3965">
      <w:pPr>
        <w:widowControl w:val="0"/>
        <w:autoSpaceDE w:val="0"/>
        <w:autoSpaceDN w:val="0"/>
        <w:adjustRightInd w:val="0"/>
        <w:ind w:left="2160" w:hanging="720"/>
      </w:pPr>
    </w:p>
    <w:p w:rsidR="001B3965" w:rsidRDefault="001B3965" w:rsidP="001B3965">
      <w:pPr>
        <w:widowControl w:val="0"/>
        <w:autoSpaceDE w:val="0"/>
        <w:autoSpaceDN w:val="0"/>
        <w:adjustRightInd w:val="0"/>
        <w:ind w:left="2880" w:hanging="720"/>
      </w:pPr>
      <w:r>
        <w:t>B)</w:t>
      </w:r>
      <w:r>
        <w:tab/>
        <w:t xml:space="preserve">Annual frequency of occurrence of basement backups: </w:t>
      </w:r>
    </w:p>
    <w:p w:rsidR="001B3965" w:rsidRDefault="001B3965" w:rsidP="001B3965">
      <w:pPr>
        <w:widowControl w:val="0"/>
        <w:autoSpaceDE w:val="0"/>
        <w:autoSpaceDN w:val="0"/>
        <w:adjustRightInd w:val="0"/>
        <w:ind w:left="2160" w:hanging="720"/>
      </w:pPr>
    </w:p>
    <w:tbl>
      <w:tblPr>
        <w:tblW w:w="5991" w:type="dxa"/>
        <w:tblInd w:w="3585" w:type="dxa"/>
        <w:tblLook w:val="0000" w:firstRow="0" w:lastRow="0" w:firstColumn="0" w:lastColumn="0" w:noHBand="0" w:noVBand="0"/>
      </w:tblPr>
      <w:tblGrid>
        <w:gridCol w:w="1472"/>
        <w:gridCol w:w="352"/>
        <w:gridCol w:w="4167"/>
      </w:tblGrid>
      <w:tr w:rsidR="006B1D46">
        <w:tblPrEx>
          <w:tblCellMar>
            <w:top w:w="0" w:type="dxa"/>
            <w:bottom w:w="0" w:type="dxa"/>
          </w:tblCellMar>
        </w:tblPrEx>
        <w:tc>
          <w:tcPr>
            <w:tcW w:w="1472" w:type="dxa"/>
          </w:tcPr>
          <w:p w:rsidR="006B1D46" w:rsidRDefault="006B1D46" w:rsidP="00431768">
            <w:pPr>
              <w:widowControl w:val="0"/>
              <w:autoSpaceDE w:val="0"/>
              <w:autoSpaceDN w:val="0"/>
              <w:adjustRightInd w:val="0"/>
            </w:pPr>
            <w:r>
              <w:t>0-5 times</w:t>
            </w:r>
          </w:p>
        </w:tc>
        <w:tc>
          <w:tcPr>
            <w:tcW w:w="352" w:type="dxa"/>
          </w:tcPr>
          <w:p w:rsidR="006B1D46" w:rsidRDefault="006B1D46" w:rsidP="00431768">
            <w:pPr>
              <w:widowControl w:val="0"/>
              <w:autoSpaceDE w:val="0"/>
              <w:autoSpaceDN w:val="0"/>
              <w:adjustRightInd w:val="0"/>
            </w:pPr>
            <w:r>
              <w:t>=</w:t>
            </w:r>
          </w:p>
        </w:tc>
        <w:tc>
          <w:tcPr>
            <w:tcW w:w="4167" w:type="dxa"/>
          </w:tcPr>
          <w:p w:rsidR="006B1D46" w:rsidRDefault="006B1D46" w:rsidP="00431768">
            <w:pPr>
              <w:widowControl w:val="0"/>
              <w:autoSpaceDE w:val="0"/>
              <w:autoSpaceDN w:val="0"/>
              <w:adjustRightInd w:val="0"/>
            </w:pPr>
            <w:r>
              <w:t>1.1;</w:t>
            </w:r>
          </w:p>
        </w:tc>
      </w:tr>
      <w:tr w:rsidR="006B1D46">
        <w:tblPrEx>
          <w:tblCellMar>
            <w:top w:w="0" w:type="dxa"/>
            <w:bottom w:w="0" w:type="dxa"/>
          </w:tblCellMar>
        </w:tblPrEx>
        <w:tc>
          <w:tcPr>
            <w:tcW w:w="1472" w:type="dxa"/>
          </w:tcPr>
          <w:p w:rsidR="006B1D46" w:rsidRDefault="006B1D46" w:rsidP="00431768">
            <w:pPr>
              <w:widowControl w:val="0"/>
              <w:autoSpaceDE w:val="0"/>
              <w:autoSpaceDN w:val="0"/>
              <w:adjustRightInd w:val="0"/>
            </w:pPr>
            <w:r>
              <w:t>6-10 times</w:t>
            </w:r>
          </w:p>
        </w:tc>
        <w:tc>
          <w:tcPr>
            <w:tcW w:w="352" w:type="dxa"/>
          </w:tcPr>
          <w:p w:rsidR="006B1D46" w:rsidRDefault="006B1D46" w:rsidP="00431768">
            <w:pPr>
              <w:widowControl w:val="0"/>
              <w:autoSpaceDE w:val="0"/>
              <w:autoSpaceDN w:val="0"/>
              <w:adjustRightInd w:val="0"/>
            </w:pPr>
            <w:r>
              <w:t>=</w:t>
            </w:r>
          </w:p>
        </w:tc>
        <w:tc>
          <w:tcPr>
            <w:tcW w:w="4167" w:type="dxa"/>
          </w:tcPr>
          <w:p w:rsidR="006B1D46" w:rsidRDefault="006B1D46" w:rsidP="00431768">
            <w:pPr>
              <w:widowControl w:val="0"/>
              <w:autoSpaceDE w:val="0"/>
              <w:autoSpaceDN w:val="0"/>
              <w:adjustRightInd w:val="0"/>
            </w:pPr>
            <w:r>
              <w:t>1.2;</w:t>
            </w:r>
          </w:p>
        </w:tc>
      </w:tr>
      <w:tr w:rsidR="006B1D46">
        <w:tblPrEx>
          <w:tblCellMar>
            <w:top w:w="0" w:type="dxa"/>
            <w:bottom w:w="0" w:type="dxa"/>
          </w:tblCellMar>
        </w:tblPrEx>
        <w:tc>
          <w:tcPr>
            <w:tcW w:w="1472" w:type="dxa"/>
          </w:tcPr>
          <w:p w:rsidR="006B1D46" w:rsidRDefault="006B1D46" w:rsidP="00431768">
            <w:pPr>
              <w:widowControl w:val="0"/>
              <w:autoSpaceDE w:val="0"/>
              <w:autoSpaceDN w:val="0"/>
              <w:adjustRightInd w:val="0"/>
            </w:pPr>
            <w:r>
              <w:t>11-15 times</w:t>
            </w:r>
          </w:p>
        </w:tc>
        <w:tc>
          <w:tcPr>
            <w:tcW w:w="352" w:type="dxa"/>
          </w:tcPr>
          <w:p w:rsidR="006B1D46" w:rsidRDefault="006B1D46" w:rsidP="00431768">
            <w:pPr>
              <w:widowControl w:val="0"/>
              <w:autoSpaceDE w:val="0"/>
              <w:autoSpaceDN w:val="0"/>
              <w:adjustRightInd w:val="0"/>
            </w:pPr>
            <w:r>
              <w:t>=</w:t>
            </w:r>
          </w:p>
        </w:tc>
        <w:tc>
          <w:tcPr>
            <w:tcW w:w="4167" w:type="dxa"/>
          </w:tcPr>
          <w:p w:rsidR="006B1D46" w:rsidRDefault="006B1D46" w:rsidP="00431768">
            <w:pPr>
              <w:widowControl w:val="0"/>
              <w:autoSpaceDE w:val="0"/>
              <w:autoSpaceDN w:val="0"/>
              <w:adjustRightInd w:val="0"/>
            </w:pPr>
            <w:r>
              <w:t>1.3;</w:t>
            </w:r>
          </w:p>
        </w:tc>
      </w:tr>
      <w:tr w:rsidR="006B1D46">
        <w:tblPrEx>
          <w:tblCellMar>
            <w:top w:w="0" w:type="dxa"/>
            <w:bottom w:w="0" w:type="dxa"/>
          </w:tblCellMar>
        </w:tblPrEx>
        <w:tc>
          <w:tcPr>
            <w:tcW w:w="1472" w:type="dxa"/>
          </w:tcPr>
          <w:p w:rsidR="006B1D46" w:rsidRDefault="006B1D46" w:rsidP="00431768">
            <w:pPr>
              <w:widowControl w:val="0"/>
              <w:autoSpaceDE w:val="0"/>
              <w:autoSpaceDN w:val="0"/>
              <w:adjustRightInd w:val="0"/>
            </w:pPr>
            <w:r>
              <w:t>16-20 times</w:t>
            </w:r>
          </w:p>
        </w:tc>
        <w:tc>
          <w:tcPr>
            <w:tcW w:w="352" w:type="dxa"/>
          </w:tcPr>
          <w:p w:rsidR="006B1D46" w:rsidRDefault="006B1D46" w:rsidP="00431768">
            <w:pPr>
              <w:widowControl w:val="0"/>
              <w:autoSpaceDE w:val="0"/>
              <w:autoSpaceDN w:val="0"/>
              <w:adjustRightInd w:val="0"/>
            </w:pPr>
            <w:r>
              <w:t>=</w:t>
            </w:r>
          </w:p>
        </w:tc>
        <w:tc>
          <w:tcPr>
            <w:tcW w:w="4167" w:type="dxa"/>
          </w:tcPr>
          <w:p w:rsidR="006B1D46" w:rsidRDefault="006B1D46" w:rsidP="00431768">
            <w:pPr>
              <w:widowControl w:val="0"/>
              <w:autoSpaceDE w:val="0"/>
              <w:autoSpaceDN w:val="0"/>
              <w:adjustRightInd w:val="0"/>
            </w:pPr>
            <w:r>
              <w:t>1.4;</w:t>
            </w:r>
          </w:p>
        </w:tc>
      </w:tr>
      <w:tr w:rsidR="006B1D46">
        <w:tblPrEx>
          <w:tblCellMar>
            <w:top w:w="0" w:type="dxa"/>
            <w:bottom w:w="0" w:type="dxa"/>
          </w:tblCellMar>
        </w:tblPrEx>
        <w:tc>
          <w:tcPr>
            <w:tcW w:w="1472" w:type="dxa"/>
          </w:tcPr>
          <w:p w:rsidR="006B1D46" w:rsidRDefault="006B1D46" w:rsidP="00431768">
            <w:pPr>
              <w:widowControl w:val="0"/>
              <w:autoSpaceDE w:val="0"/>
              <w:autoSpaceDN w:val="0"/>
              <w:adjustRightInd w:val="0"/>
            </w:pPr>
            <w:r>
              <w:t>&gt;20 times</w:t>
            </w:r>
          </w:p>
        </w:tc>
        <w:tc>
          <w:tcPr>
            <w:tcW w:w="352" w:type="dxa"/>
          </w:tcPr>
          <w:p w:rsidR="006B1D46" w:rsidRDefault="006B1D46" w:rsidP="00431768">
            <w:pPr>
              <w:widowControl w:val="0"/>
              <w:autoSpaceDE w:val="0"/>
              <w:autoSpaceDN w:val="0"/>
              <w:adjustRightInd w:val="0"/>
            </w:pPr>
            <w:r>
              <w:t>=</w:t>
            </w:r>
          </w:p>
        </w:tc>
        <w:tc>
          <w:tcPr>
            <w:tcW w:w="4167" w:type="dxa"/>
          </w:tcPr>
          <w:p w:rsidR="006B1D46" w:rsidRDefault="006B1D46" w:rsidP="00431768">
            <w:pPr>
              <w:widowControl w:val="0"/>
              <w:autoSpaceDE w:val="0"/>
              <w:autoSpaceDN w:val="0"/>
              <w:adjustRightInd w:val="0"/>
            </w:pPr>
            <w:r>
              <w:t>1.5.</w:t>
            </w:r>
          </w:p>
        </w:tc>
      </w:tr>
    </w:tbl>
    <w:p w:rsidR="006B1D46" w:rsidRDefault="006B1D46" w:rsidP="006B1D46">
      <w:pPr>
        <w:widowControl w:val="0"/>
        <w:autoSpaceDE w:val="0"/>
        <w:autoSpaceDN w:val="0"/>
        <w:adjustRightInd w:val="0"/>
        <w:ind w:left="2160" w:hanging="720"/>
      </w:pPr>
    </w:p>
    <w:sectPr w:rsidR="006B1D46" w:rsidSect="001B39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965"/>
    <w:rsid w:val="000C6CA3"/>
    <w:rsid w:val="001B3965"/>
    <w:rsid w:val="00431768"/>
    <w:rsid w:val="005C3366"/>
    <w:rsid w:val="00646BEF"/>
    <w:rsid w:val="00671792"/>
    <w:rsid w:val="006B1D46"/>
    <w:rsid w:val="006E2AC8"/>
    <w:rsid w:val="00802F6B"/>
    <w:rsid w:val="00EB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1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1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cp:lastPrinted>2003-01-06T22:22:00Z</cp:lastPrinted>
  <dcterms:created xsi:type="dcterms:W3CDTF">2012-06-21T20:37:00Z</dcterms:created>
  <dcterms:modified xsi:type="dcterms:W3CDTF">2012-06-21T20:37:00Z</dcterms:modified>
</cp:coreProperties>
</file>