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696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60D3" w:rsidRDefault="006960D3" w:rsidP="006960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310.544  USEPA Objection</w:t>
      </w:r>
      <w:r>
        <w:t xml:space="preserve"> </w:t>
      </w:r>
    </w:p>
    <w:p w:rsidR="006960D3" w:rsidRDefault="006960D3" w:rsidP="006960D3">
      <w:pPr>
        <w:widowControl w:val="0"/>
        <w:autoSpaceDE w:val="0"/>
        <w:autoSpaceDN w:val="0"/>
        <w:adjustRightInd w:val="0"/>
      </w:pPr>
    </w:p>
    <w:p w:rsidR="006960D3" w:rsidRDefault="006960D3" w:rsidP="006960D3">
      <w:pPr>
        <w:widowControl w:val="0"/>
        <w:autoSpaceDE w:val="0"/>
        <w:autoSpaceDN w:val="0"/>
        <w:adjustRightInd w:val="0"/>
      </w:pPr>
      <w:r>
        <w:t xml:space="preserve">The Agency </w:t>
      </w:r>
      <w:r w:rsidR="009060F9">
        <w:t xml:space="preserve">must </w:t>
      </w:r>
      <w:r>
        <w:t xml:space="preserve">not approve any pretreatment program or authorization to grant removal credits to which USEPA objects pursuant to 40 CFR 403.11(d) </w:t>
      </w:r>
      <w:r w:rsidR="009060F9">
        <w:t>(2003)</w:t>
      </w:r>
      <w:r>
        <w:t xml:space="preserve">.  The POTW may contest such an objection only as provided by USEPA rules and procedures. </w:t>
      </w:r>
    </w:p>
    <w:p w:rsidR="00162F30" w:rsidRDefault="00162F30" w:rsidP="006960D3">
      <w:pPr>
        <w:widowControl w:val="0"/>
        <w:autoSpaceDE w:val="0"/>
        <w:autoSpaceDN w:val="0"/>
        <w:adjustRightInd w:val="0"/>
      </w:pPr>
    </w:p>
    <w:p w:rsidR="006960D3" w:rsidRDefault="009060F9" w:rsidP="006960D3">
      <w:pPr>
        <w:widowControl w:val="0"/>
        <w:autoSpaceDE w:val="0"/>
        <w:autoSpaceDN w:val="0"/>
        <w:adjustRightInd w:val="0"/>
      </w:pPr>
      <w:r>
        <w:t>BOARD NOTE</w:t>
      </w:r>
      <w:r w:rsidR="00460C4F">
        <w:t>:</w:t>
      </w:r>
      <w:r>
        <w:t xml:space="preserve"> </w:t>
      </w:r>
      <w:r w:rsidR="00460C4F">
        <w:t xml:space="preserve"> </w:t>
      </w:r>
      <w:r w:rsidR="006960D3">
        <w:t xml:space="preserve">  Derived from 40 CFR 403.11(d) </w:t>
      </w:r>
      <w:r>
        <w:t>(2003).</w:t>
      </w:r>
      <w:r w:rsidR="006960D3">
        <w:t xml:space="preserve"> </w:t>
      </w:r>
    </w:p>
    <w:p w:rsidR="009060F9" w:rsidRDefault="009060F9" w:rsidP="006960D3">
      <w:pPr>
        <w:widowControl w:val="0"/>
        <w:autoSpaceDE w:val="0"/>
        <w:autoSpaceDN w:val="0"/>
        <w:adjustRightInd w:val="0"/>
      </w:pPr>
    </w:p>
    <w:p w:rsidR="009060F9" w:rsidRDefault="009060F9">
      <w:pPr>
        <w:pStyle w:val="JCARSourceNote"/>
        <w:ind w:firstLine="720"/>
      </w:pPr>
      <w:r>
        <w:t xml:space="preserve">(Source:  Amended at 28 Ill. Reg. </w:t>
      </w:r>
      <w:r w:rsidR="00B5053E">
        <w:t>3390</w:t>
      </w:r>
      <w:r>
        <w:t xml:space="preserve">, effective </w:t>
      </w:r>
      <w:r w:rsidR="001B7FCE">
        <w:t>February 6, 2004</w:t>
      </w:r>
      <w:r>
        <w:t>)</w:t>
      </w:r>
    </w:p>
    <w:sectPr w:rsidR="009060F9" w:rsidSect="00696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0D3"/>
    <w:rsid w:val="00051191"/>
    <w:rsid w:val="000E2495"/>
    <w:rsid w:val="00162F30"/>
    <w:rsid w:val="001B7FCE"/>
    <w:rsid w:val="001E0463"/>
    <w:rsid w:val="003E1BE7"/>
    <w:rsid w:val="00460C4F"/>
    <w:rsid w:val="005C3366"/>
    <w:rsid w:val="006960D3"/>
    <w:rsid w:val="009060F9"/>
    <w:rsid w:val="00B5053E"/>
    <w:rsid w:val="00F0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