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78FB" w14:textId="77777777" w:rsidR="00CF6948" w:rsidRPr="007B6FFD" w:rsidRDefault="00CF6948" w:rsidP="007B6FFD"/>
    <w:p w14:paraId="525501B0" w14:textId="77777777" w:rsidR="00CF6948" w:rsidRPr="007B6FFD" w:rsidRDefault="00CF6948" w:rsidP="007B6FFD">
      <w:pPr>
        <w:rPr>
          <w:b/>
        </w:rPr>
      </w:pPr>
      <w:r w:rsidRPr="007B6FFD">
        <w:rPr>
          <w:b/>
        </w:rPr>
        <w:t>Section 302.412  Total Ammonia Nitrogen</w:t>
      </w:r>
    </w:p>
    <w:p w14:paraId="222E8D56" w14:textId="77777777" w:rsidR="00CF6948" w:rsidRPr="007B6FFD" w:rsidRDefault="00CF6948" w:rsidP="007B6FFD"/>
    <w:p w14:paraId="6EF0F242" w14:textId="77777777" w:rsidR="00CF6948" w:rsidRPr="007B6FFD" w:rsidRDefault="00CF6948" w:rsidP="007B6FFD">
      <w:pPr>
        <w:ind w:left="1440" w:hanging="720"/>
      </w:pPr>
      <w:r w:rsidRPr="007B6FFD">
        <w:t>a)</w:t>
      </w:r>
      <w:r w:rsidRPr="007B6FFD">
        <w:tab/>
        <w:t>This Section does not apply to the South Fork of the South Branch of the Chicago River (Bubbly Creek).</w:t>
      </w:r>
    </w:p>
    <w:p w14:paraId="2C8ABBE6" w14:textId="77777777" w:rsidR="00CF6948" w:rsidRPr="007B6FFD" w:rsidRDefault="00CF6948" w:rsidP="007B6FFD"/>
    <w:p w14:paraId="61572C03" w14:textId="77777777" w:rsidR="00CF6948" w:rsidRDefault="00CF6948" w:rsidP="00CF6948">
      <w:pPr>
        <w:widowControl/>
        <w:suppressAutoHyphens/>
        <w:overflowPunct w:val="0"/>
        <w:autoSpaceDE w:val="0"/>
        <w:autoSpaceDN w:val="0"/>
        <w:adjustRightInd w:val="0"/>
        <w:ind w:left="1440" w:hanging="720"/>
        <w:textAlignment w:val="baseline"/>
      </w:pPr>
      <w:r>
        <w:t>b)</w:t>
      </w:r>
      <w:r>
        <w:tab/>
        <w:t>For the Chicago Area Waterway System and the Lower Des Plaines River described in 35 Ill. Adm. Code 303.204 and listed in 35 Ill. Adm. Code 303.220 through 303.240, total ammonia nitrogen must in no case exceed 15 mg/L.</w:t>
      </w:r>
    </w:p>
    <w:p w14:paraId="6840578A" w14:textId="77777777" w:rsidR="00CF6948" w:rsidRDefault="00CF6948" w:rsidP="00CF6948"/>
    <w:p w14:paraId="076B2AEB" w14:textId="15A0566D" w:rsidR="00CF6948" w:rsidRDefault="00CF6948" w:rsidP="00CF6948">
      <w:pPr>
        <w:widowControl/>
        <w:suppressAutoHyphens/>
        <w:overflowPunct w:val="0"/>
        <w:autoSpaceDE w:val="0"/>
        <w:autoSpaceDN w:val="0"/>
        <w:adjustRightInd w:val="0"/>
        <w:ind w:left="1440" w:hanging="720"/>
        <w:textAlignment w:val="baseline"/>
      </w:pPr>
      <w:r>
        <w:t>c)</w:t>
      </w:r>
      <w:r>
        <w:tab/>
        <w:t xml:space="preserve">The total ammonia nitrogen acute, chronic, and sub-chronic standards are determined in </w:t>
      </w:r>
      <w:r w:rsidR="000F6365">
        <w:t>compliance</w:t>
      </w:r>
      <w:r>
        <w:t xml:space="preserve"> with the equations in subsections (c)(1) and (c)(2).  Attainment of each standard must be determined in </w:t>
      </w:r>
      <w:r w:rsidR="000F6365">
        <w:t>compliance</w:t>
      </w:r>
      <w:r>
        <w:t xml:space="preserve"> with subsections (d) and (e) in mg/L. </w:t>
      </w:r>
    </w:p>
    <w:p w14:paraId="355A2E6C" w14:textId="77777777" w:rsidR="00CF6948" w:rsidRDefault="00CF6948" w:rsidP="00CF6948"/>
    <w:p w14:paraId="5FB3AFC9" w14:textId="77777777" w:rsidR="00CF6948" w:rsidRDefault="00CF6948" w:rsidP="00CF6948">
      <w:pPr>
        <w:widowControl/>
        <w:suppressAutoHyphens/>
        <w:overflowPunct w:val="0"/>
        <w:autoSpaceDE w:val="0"/>
        <w:autoSpaceDN w:val="0"/>
        <w:adjustRightInd w:val="0"/>
        <w:ind w:left="2160" w:hanging="720"/>
        <w:textAlignment w:val="baseline"/>
      </w:pPr>
      <w:r>
        <w:t>1)</w:t>
      </w:r>
      <w:r>
        <w:tab/>
        <w:t xml:space="preserve">The acute standard (AS) is calculated using the following equation:  </w:t>
      </w:r>
    </w:p>
    <w:p w14:paraId="0B6BA7F6" w14:textId="77777777" w:rsidR="00CF6948" w:rsidRDefault="00CF6948" w:rsidP="00CF6948"/>
    <w:p w14:paraId="3C173819" w14:textId="77777777" w:rsidR="00CF6948" w:rsidRDefault="00CF6948" w:rsidP="00CF6948">
      <w:pPr>
        <w:widowControl/>
        <w:suppressAutoHyphens/>
        <w:overflowPunct w:val="0"/>
        <w:autoSpaceDE w:val="0"/>
        <w:autoSpaceDN w:val="0"/>
        <w:adjustRightInd w:val="0"/>
        <w:ind w:left="2160" w:hanging="720"/>
        <w:jc w:val="center"/>
        <w:textAlignment w:val="baseline"/>
        <w:rPr>
          <w:u w:val="single"/>
        </w:rPr>
      </w:pPr>
      <w:r>
        <w:rPr>
          <w:position w:val="-24"/>
          <w:u w:val="single"/>
        </w:rPr>
        <w:object w:dxaOrig="3300" w:dyaOrig="624" w14:anchorId="08CBD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1.5pt" o:ole="">
            <v:imagedata r:id="rId6" o:title=""/>
          </v:shape>
          <o:OLEObject Type="Embed" ProgID="Equation.3" ShapeID="_x0000_i1025" DrawAspect="Content" ObjectID="_1742302337" r:id="rId7"/>
        </w:object>
      </w:r>
    </w:p>
    <w:p w14:paraId="61CFE59B" w14:textId="77777777" w:rsidR="00CF6948" w:rsidRPr="007B6FFD" w:rsidRDefault="00CF6948" w:rsidP="007B6FFD"/>
    <w:p w14:paraId="7FA852EE" w14:textId="77777777" w:rsidR="00CF6948" w:rsidRPr="007B6FFD" w:rsidRDefault="00CF6948" w:rsidP="007B6FFD">
      <w:pPr>
        <w:ind w:left="720" w:firstLine="720"/>
      </w:pPr>
      <w:r w:rsidRPr="007B6FFD">
        <w:t>2)</w:t>
      </w:r>
      <w:r w:rsidRPr="007B6FFD">
        <w:tab/>
        <w:t>The chronic standard (CS) is calculated using the following equations:</w:t>
      </w:r>
    </w:p>
    <w:p w14:paraId="77827CAD" w14:textId="77777777" w:rsidR="00CF6948" w:rsidRPr="007B6FFD" w:rsidRDefault="00CF6948" w:rsidP="007B6FFD"/>
    <w:p w14:paraId="63F601BD" w14:textId="77777777" w:rsidR="00CF6948" w:rsidRPr="007B6FFD" w:rsidRDefault="00CF6948" w:rsidP="007B6FFD">
      <w:pPr>
        <w:ind w:left="2880" w:hanging="720"/>
      </w:pPr>
      <w:r w:rsidRPr="007B6FFD">
        <w:t>A)</w:t>
      </w:r>
      <w:r w:rsidRPr="007B6FFD">
        <w:tab/>
        <w:t>During the Early Life Stage Present period, as defined in subsection (f):</w:t>
      </w:r>
    </w:p>
    <w:p w14:paraId="6FADAA77" w14:textId="77777777" w:rsidR="00CF6948" w:rsidRPr="007B6FFD" w:rsidRDefault="00CF6948" w:rsidP="007B6FFD"/>
    <w:p w14:paraId="74718C44" w14:textId="44559238" w:rsidR="00CF6948" w:rsidRPr="007B6FFD" w:rsidRDefault="00CF6948" w:rsidP="00BA66F7">
      <w:pPr>
        <w:ind w:left="3600" w:hanging="720"/>
      </w:pPr>
      <w:r w:rsidRPr="007B6FFD">
        <w:t>i)</w:t>
      </w:r>
      <w:r w:rsidRPr="007B6FFD">
        <w:tab/>
        <w:t xml:space="preserve">When </w:t>
      </w:r>
      <w:r w:rsidR="00D90B3B">
        <w:t xml:space="preserve">the </w:t>
      </w:r>
      <w:r w:rsidRPr="007B6FFD">
        <w:t>water temperature is less than or equal to 14.51</w:t>
      </w:r>
      <w:r w:rsidR="005E1036">
        <w:t xml:space="preserve"> </w:t>
      </w:r>
      <w:r w:rsidRPr="007B6FFD">
        <w:t>ºC:</w:t>
      </w:r>
    </w:p>
    <w:p w14:paraId="431F026A" w14:textId="77777777" w:rsidR="00CF6948" w:rsidRPr="007B6FFD" w:rsidRDefault="00CF6948" w:rsidP="007B6FFD"/>
    <w:p w14:paraId="17AC8423" w14:textId="77777777" w:rsidR="00CF6948" w:rsidRPr="007B6FFD" w:rsidRDefault="00CF6948" w:rsidP="007B6FFD">
      <w:pPr>
        <w:ind w:left="2880" w:firstLine="720"/>
      </w:pPr>
      <w:r w:rsidRPr="007B6FFD">
        <w:object w:dxaOrig="4044" w:dyaOrig="756" w14:anchorId="0FAD4282">
          <v:shape id="_x0000_i1026" type="#_x0000_t75" style="width:202.5pt;height:37.5pt" o:ole="">
            <v:imagedata r:id="rId8" o:title=""/>
          </v:shape>
          <o:OLEObject Type="Embed" ProgID="Equation.3" ShapeID="_x0000_i1026" DrawAspect="Content" ObjectID="_1742302338" r:id="rId9"/>
        </w:object>
      </w:r>
    </w:p>
    <w:p w14:paraId="5055EE35" w14:textId="77777777" w:rsidR="00CF6948" w:rsidRPr="007B6FFD" w:rsidRDefault="00CF6948" w:rsidP="007B6FFD"/>
    <w:p w14:paraId="0BA049A3" w14:textId="756E6DD6" w:rsidR="00CF6948" w:rsidRPr="007B6FFD" w:rsidRDefault="00CF6948" w:rsidP="007B6FFD">
      <w:pPr>
        <w:ind w:left="2160" w:firstLine="720"/>
      </w:pPr>
      <w:r w:rsidRPr="007B6FFD">
        <w:t>ii)</w:t>
      </w:r>
      <w:r w:rsidRPr="007B6FFD">
        <w:tab/>
        <w:t xml:space="preserve">When </w:t>
      </w:r>
      <w:r w:rsidR="00550E08">
        <w:t xml:space="preserve">the </w:t>
      </w:r>
      <w:r w:rsidRPr="007B6FFD">
        <w:t>water temperature is above 14.51</w:t>
      </w:r>
      <w:r w:rsidR="005E1036">
        <w:t xml:space="preserve"> </w:t>
      </w:r>
      <w:r w:rsidRPr="007B6FFD">
        <w:t>ºC:</w:t>
      </w:r>
    </w:p>
    <w:p w14:paraId="1F35B8A6" w14:textId="77777777" w:rsidR="00CF6948" w:rsidRPr="007B6FFD" w:rsidRDefault="00CF6948" w:rsidP="007B6FFD"/>
    <w:p w14:paraId="6AF98840" w14:textId="77777777" w:rsidR="00CF6948" w:rsidRPr="007B6FFD" w:rsidRDefault="00CF6948" w:rsidP="007B6FFD">
      <w:pPr>
        <w:ind w:left="2880" w:firstLine="720"/>
      </w:pPr>
      <w:r w:rsidRPr="007B6FFD">
        <w:object w:dxaOrig="5232" w:dyaOrig="756" w14:anchorId="04DD3645">
          <v:shape id="_x0000_i1027" type="#_x0000_t75" style="width:261.75pt;height:37.5pt" o:ole="">
            <v:imagedata r:id="rId10" o:title=""/>
          </v:shape>
          <o:OLEObject Type="Embed" ProgID="Equation.3" ShapeID="_x0000_i1027" DrawAspect="Content" ObjectID="_1742302339" r:id="rId11"/>
        </w:object>
      </w:r>
    </w:p>
    <w:p w14:paraId="01ECF830" w14:textId="77777777" w:rsidR="00CF6948" w:rsidRPr="007B6FFD" w:rsidRDefault="00CF6948" w:rsidP="007B6FFD"/>
    <w:p w14:paraId="7AFA0381" w14:textId="77777777" w:rsidR="00CF6948" w:rsidRPr="007B6FFD" w:rsidRDefault="00CF6948" w:rsidP="007B6FFD">
      <w:pPr>
        <w:ind w:left="2880" w:firstLine="720"/>
      </w:pPr>
      <w:r w:rsidRPr="007B6FFD">
        <w:t>where:</w:t>
      </w:r>
    </w:p>
    <w:p w14:paraId="6465634D" w14:textId="77777777" w:rsidR="00CF6948" w:rsidRPr="007B6FFD" w:rsidRDefault="00CF6948" w:rsidP="007B6FFD"/>
    <w:tbl>
      <w:tblPr>
        <w:tblW w:w="0" w:type="auto"/>
        <w:tblInd w:w="3843" w:type="dxa"/>
        <w:tblLook w:val="04A0" w:firstRow="1" w:lastRow="0" w:firstColumn="1" w:lastColumn="0" w:noHBand="0" w:noVBand="1"/>
      </w:tblPr>
      <w:tblGrid>
        <w:gridCol w:w="363"/>
        <w:gridCol w:w="352"/>
        <w:gridCol w:w="4802"/>
      </w:tblGrid>
      <w:tr w:rsidR="00CF6948" w:rsidRPr="007B6FFD" w14:paraId="788A6FDA" w14:textId="77777777" w:rsidTr="00CF6948">
        <w:tc>
          <w:tcPr>
            <w:tcW w:w="363" w:type="dxa"/>
            <w:hideMark/>
          </w:tcPr>
          <w:p w14:paraId="209F600F" w14:textId="77777777" w:rsidR="00CF6948" w:rsidRPr="007B6FFD" w:rsidRDefault="00CF6948" w:rsidP="007B6FFD">
            <w:r w:rsidRPr="007B6FFD">
              <w:t>T</w:t>
            </w:r>
          </w:p>
        </w:tc>
        <w:tc>
          <w:tcPr>
            <w:tcW w:w="274" w:type="dxa"/>
            <w:hideMark/>
          </w:tcPr>
          <w:p w14:paraId="1D34E62F" w14:textId="77777777" w:rsidR="00CF6948" w:rsidRPr="007B6FFD" w:rsidRDefault="00CF6948" w:rsidP="007B6FFD">
            <w:r w:rsidRPr="007B6FFD">
              <w:t>=</w:t>
            </w:r>
          </w:p>
        </w:tc>
        <w:tc>
          <w:tcPr>
            <w:tcW w:w="4880" w:type="dxa"/>
            <w:hideMark/>
          </w:tcPr>
          <w:p w14:paraId="116F5E89" w14:textId="77777777" w:rsidR="00CF6948" w:rsidRPr="007B6FFD" w:rsidRDefault="00CF6948" w:rsidP="007B6FFD">
            <w:r w:rsidRPr="007B6FFD">
              <w:t>Water Temperature, degrees Celsius</w:t>
            </w:r>
          </w:p>
        </w:tc>
      </w:tr>
    </w:tbl>
    <w:p w14:paraId="71F20656" w14:textId="77777777" w:rsidR="00CF6948" w:rsidRPr="007B6FFD" w:rsidRDefault="00CF6948" w:rsidP="007B6FFD"/>
    <w:p w14:paraId="6CEA1317" w14:textId="77777777" w:rsidR="00CF6948" w:rsidRPr="007B6FFD" w:rsidRDefault="00CF6948" w:rsidP="007B6FFD">
      <w:pPr>
        <w:ind w:left="2880" w:hanging="720"/>
      </w:pPr>
      <w:r w:rsidRPr="007B6FFD">
        <w:t>B)</w:t>
      </w:r>
      <w:r w:rsidRPr="007B6FFD">
        <w:tab/>
        <w:t>During the Early Life Stage Absent period, as defined in subsection (f):</w:t>
      </w:r>
    </w:p>
    <w:p w14:paraId="6AEB5150" w14:textId="77777777" w:rsidR="00CF6948" w:rsidRPr="007B6FFD" w:rsidRDefault="00CF6948" w:rsidP="007B6FFD"/>
    <w:p w14:paraId="609B62EC" w14:textId="7706F06A" w:rsidR="00CF6948" w:rsidRPr="007B6FFD" w:rsidRDefault="00CF6948" w:rsidP="007B6FFD">
      <w:pPr>
        <w:ind w:left="2160" w:firstLine="720"/>
      </w:pPr>
      <w:r w:rsidRPr="007B6FFD">
        <w:t>i)</w:t>
      </w:r>
      <w:r w:rsidRPr="007B6FFD">
        <w:tab/>
        <w:t xml:space="preserve">When </w:t>
      </w:r>
      <w:r w:rsidR="00D90B3B">
        <w:t xml:space="preserve">the </w:t>
      </w:r>
      <w:r w:rsidRPr="007B6FFD">
        <w:t>water temperature is less than or equal to 7</w:t>
      </w:r>
      <w:r w:rsidR="005E1036">
        <w:t xml:space="preserve"> </w:t>
      </w:r>
      <w:r w:rsidRPr="007B6FFD">
        <w:t>ºC:</w:t>
      </w:r>
    </w:p>
    <w:p w14:paraId="442ED120" w14:textId="77777777" w:rsidR="00CF6948" w:rsidRPr="007B6FFD" w:rsidRDefault="00CF6948" w:rsidP="007B6FFD"/>
    <w:p w14:paraId="531986D9" w14:textId="77777777" w:rsidR="00CF6948" w:rsidRPr="007B6FFD" w:rsidRDefault="00CF6948" w:rsidP="007B6FFD">
      <w:pPr>
        <w:ind w:left="2880" w:firstLine="720"/>
      </w:pPr>
      <w:r w:rsidRPr="007B6FFD">
        <w:object w:dxaOrig="4764" w:dyaOrig="756" w14:anchorId="35779BA8">
          <v:shape id="_x0000_i1028" type="#_x0000_t75" style="width:238.5pt;height:37.5pt" o:ole="">
            <v:imagedata r:id="rId12" o:title=""/>
          </v:shape>
          <o:OLEObject Type="Embed" ProgID="Equation.3" ShapeID="_x0000_i1028" DrawAspect="Content" ObjectID="_1742302340" r:id="rId13"/>
        </w:object>
      </w:r>
    </w:p>
    <w:p w14:paraId="155724F3" w14:textId="77777777" w:rsidR="00CF6948" w:rsidRPr="007B6FFD" w:rsidRDefault="00CF6948" w:rsidP="007B6FFD"/>
    <w:p w14:paraId="4B314A41" w14:textId="542C5D25" w:rsidR="00CF6948" w:rsidRPr="007B6FFD" w:rsidRDefault="00CF6948" w:rsidP="007B6FFD">
      <w:pPr>
        <w:ind w:left="2160" w:firstLine="720"/>
      </w:pPr>
      <w:r w:rsidRPr="007B6FFD">
        <w:t>ii)</w:t>
      </w:r>
      <w:r w:rsidRPr="007B6FFD">
        <w:tab/>
        <w:t xml:space="preserve">When </w:t>
      </w:r>
      <w:r w:rsidR="00D90B3B">
        <w:t xml:space="preserve">the </w:t>
      </w:r>
      <w:r w:rsidRPr="007B6FFD">
        <w:t>water temperature is greater than 7</w:t>
      </w:r>
      <w:r w:rsidR="005E1036">
        <w:t xml:space="preserve"> </w:t>
      </w:r>
      <w:r w:rsidRPr="007B6FFD">
        <w:t>ºC:</w:t>
      </w:r>
    </w:p>
    <w:p w14:paraId="3CFA807F" w14:textId="77777777" w:rsidR="00CF6948" w:rsidRPr="007B6FFD" w:rsidRDefault="00CF6948" w:rsidP="007B6FFD"/>
    <w:p w14:paraId="71205CA7" w14:textId="77777777" w:rsidR="00CF6948" w:rsidRPr="007B6FFD" w:rsidRDefault="00CF6948" w:rsidP="007B6FFD">
      <w:pPr>
        <w:ind w:left="2880" w:firstLine="720"/>
      </w:pPr>
      <w:r w:rsidRPr="007B6FFD">
        <w:object w:dxaOrig="5184" w:dyaOrig="756" w14:anchorId="489B4469">
          <v:shape id="_x0000_i1029" type="#_x0000_t75" style="width:259.5pt;height:37.5pt" o:ole="">
            <v:imagedata r:id="rId14" o:title=""/>
          </v:shape>
          <o:OLEObject Type="Embed" ProgID="Equation.3" ShapeID="_x0000_i1029" DrawAspect="Content" ObjectID="_1742302341" r:id="rId15"/>
        </w:object>
      </w:r>
    </w:p>
    <w:p w14:paraId="018F6EAE" w14:textId="77777777" w:rsidR="00CF6948" w:rsidRPr="007B6FFD" w:rsidRDefault="00CF6948" w:rsidP="007B6FFD"/>
    <w:p w14:paraId="7695ADFF" w14:textId="77777777" w:rsidR="00CF6948" w:rsidRPr="007B6FFD" w:rsidRDefault="00CF6948" w:rsidP="007B6FFD">
      <w:pPr>
        <w:ind w:left="2880" w:firstLine="720"/>
      </w:pPr>
      <w:r w:rsidRPr="007B6FFD">
        <w:t>Where:</w:t>
      </w:r>
    </w:p>
    <w:p w14:paraId="674116F5" w14:textId="77777777" w:rsidR="00CF6948" w:rsidRPr="007B6FFD" w:rsidRDefault="00CF6948" w:rsidP="007B6FFD"/>
    <w:tbl>
      <w:tblPr>
        <w:tblW w:w="0" w:type="auto"/>
        <w:tblInd w:w="3843" w:type="dxa"/>
        <w:tblLook w:val="04A0" w:firstRow="1" w:lastRow="0" w:firstColumn="1" w:lastColumn="0" w:noHBand="0" w:noVBand="1"/>
      </w:tblPr>
      <w:tblGrid>
        <w:gridCol w:w="363"/>
        <w:gridCol w:w="352"/>
        <w:gridCol w:w="4802"/>
      </w:tblGrid>
      <w:tr w:rsidR="00CF6948" w:rsidRPr="007B6FFD" w14:paraId="19C9E982" w14:textId="77777777" w:rsidTr="00CF6948">
        <w:tc>
          <w:tcPr>
            <w:tcW w:w="363" w:type="dxa"/>
            <w:hideMark/>
          </w:tcPr>
          <w:p w14:paraId="471A9C08" w14:textId="77777777" w:rsidR="00CF6948" w:rsidRPr="007B6FFD" w:rsidRDefault="00CF6948" w:rsidP="007B6FFD">
            <w:r w:rsidRPr="007B6FFD">
              <w:t>T</w:t>
            </w:r>
          </w:p>
        </w:tc>
        <w:tc>
          <w:tcPr>
            <w:tcW w:w="274" w:type="dxa"/>
            <w:hideMark/>
          </w:tcPr>
          <w:p w14:paraId="62E0AF61" w14:textId="77777777" w:rsidR="00CF6948" w:rsidRPr="007B6FFD" w:rsidRDefault="00CF6948" w:rsidP="007B6FFD">
            <w:r w:rsidRPr="007B6FFD">
              <w:t>=</w:t>
            </w:r>
          </w:p>
        </w:tc>
        <w:tc>
          <w:tcPr>
            <w:tcW w:w="4880" w:type="dxa"/>
            <w:hideMark/>
          </w:tcPr>
          <w:p w14:paraId="60B4F939" w14:textId="77777777" w:rsidR="00CF6948" w:rsidRPr="007B6FFD" w:rsidRDefault="00CF6948" w:rsidP="007B6FFD">
            <w:r w:rsidRPr="007B6FFD">
              <w:t>Water Temperature, degrees Celsius</w:t>
            </w:r>
          </w:p>
        </w:tc>
      </w:tr>
    </w:tbl>
    <w:p w14:paraId="720FE5FB" w14:textId="77777777" w:rsidR="00CF6948" w:rsidRPr="007B6FFD" w:rsidRDefault="00CF6948" w:rsidP="007B6FFD"/>
    <w:p w14:paraId="66F6D281" w14:textId="77777777" w:rsidR="00CF6948" w:rsidRDefault="00CF6948" w:rsidP="00CF6948">
      <w:pPr>
        <w:widowControl/>
        <w:suppressAutoHyphens/>
        <w:overflowPunct w:val="0"/>
        <w:autoSpaceDE w:val="0"/>
        <w:autoSpaceDN w:val="0"/>
        <w:adjustRightInd w:val="0"/>
        <w:ind w:left="2160" w:hanging="720"/>
        <w:textAlignment w:val="baseline"/>
      </w:pPr>
      <w:r>
        <w:t>3)</w:t>
      </w:r>
      <w:r>
        <w:tab/>
        <w:t>The sub-chronic standard is equal to 2.5 times the chronic standard.</w:t>
      </w:r>
    </w:p>
    <w:p w14:paraId="25F696AD" w14:textId="77777777" w:rsidR="00CF6948" w:rsidRDefault="00CF6948" w:rsidP="00CF6948"/>
    <w:p w14:paraId="7FFF2F54" w14:textId="77777777" w:rsidR="00CF6948" w:rsidRDefault="00CF6948" w:rsidP="00CF6948">
      <w:pPr>
        <w:widowControl/>
        <w:overflowPunct w:val="0"/>
        <w:autoSpaceDE w:val="0"/>
        <w:autoSpaceDN w:val="0"/>
        <w:adjustRightInd w:val="0"/>
        <w:ind w:firstLine="720"/>
        <w:textAlignment w:val="baseline"/>
      </w:pPr>
      <w:r>
        <w:t>d)</w:t>
      </w:r>
      <w:r>
        <w:tab/>
        <w:t>Attainment of the Total Ammonia Nitrogen Water Quality Standards</w:t>
      </w:r>
    </w:p>
    <w:p w14:paraId="7BC7AA77" w14:textId="77777777" w:rsidR="00CF6948" w:rsidRDefault="00CF6948" w:rsidP="00CF6948">
      <w:pPr>
        <w:widowControl/>
        <w:overflowPunct w:val="0"/>
        <w:autoSpaceDE w:val="0"/>
        <w:autoSpaceDN w:val="0"/>
        <w:adjustRightInd w:val="0"/>
        <w:textAlignment w:val="baseline"/>
      </w:pPr>
    </w:p>
    <w:p w14:paraId="35E3884C" w14:textId="47D21B65" w:rsidR="00CF6948" w:rsidRDefault="00CF6948" w:rsidP="00CF6948">
      <w:pPr>
        <w:widowControl/>
        <w:overflowPunct w:val="0"/>
        <w:autoSpaceDE w:val="0"/>
        <w:autoSpaceDN w:val="0"/>
        <w:adjustRightInd w:val="0"/>
        <w:ind w:left="2160" w:hanging="720"/>
        <w:textAlignment w:val="baseline"/>
      </w:pPr>
      <w:r>
        <w:t>1)</w:t>
      </w:r>
      <w:r>
        <w:tab/>
        <w:t xml:space="preserve">The acute standard for total ammonia nitrogen (in mg/L) must not be exceeded at any time except in those waters for which the Agency has approved a ZID </w:t>
      </w:r>
      <w:r w:rsidR="000F6365">
        <w:t xml:space="preserve">under </w:t>
      </w:r>
      <w:r>
        <w:t>Section 302.102.</w:t>
      </w:r>
    </w:p>
    <w:p w14:paraId="74F0A931" w14:textId="77777777" w:rsidR="00CF6948" w:rsidRDefault="00CF6948" w:rsidP="00CF6948"/>
    <w:p w14:paraId="4F97B7FB" w14:textId="1E5FF2CF" w:rsidR="00CF6948" w:rsidRDefault="00CF6948" w:rsidP="00CF6948">
      <w:pPr>
        <w:widowControl/>
        <w:overflowPunct w:val="0"/>
        <w:autoSpaceDE w:val="0"/>
        <w:autoSpaceDN w:val="0"/>
        <w:adjustRightInd w:val="0"/>
        <w:ind w:left="2160" w:hanging="720"/>
        <w:textAlignment w:val="baseline"/>
      </w:pPr>
      <w:r>
        <w:t>2)</w:t>
      </w:r>
      <w:r>
        <w:tab/>
        <w:t xml:space="preserve">The 30-day average concentration of total ammonia nitrogen (in mg/L) must not exceed the chronic standard (CS) except in those waters in which mixing is allowed </w:t>
      </w:r>
      <w:r w:rsidR="000F6365">
        <w:t xml:space="preserve">under </w:t>
      </w:r>
      <w:r>
        <w:t xml:space="preserve">Section 302.102.  Attainment of the chronic standard (CS) is determined in </w:t>
      </w:r>
      <w:r w:rsidR="00847B18">
        <w:t>compliance</w:t>
      </w:r>
      <w:r>
        <w:t xml:space="preserve"> with subsection (e) by averaging at least four samples collected at weekly intervals or at other sampling intervals that statistically represent a 30-day sampling period.  The samples must be collected in a manner that assures a representative sampling period.</w:t>
      </w:r>
    </w:p>
    <w:p w14:paraId="0A7A09B4" w14:textId="77777777" w:rsidR="00CF6948" w:rsidRDefault="00CF6948" w:rsidP="00CF6948">
      <w:pPr>
        <w:widowControl/>
        <w:overflowPunct w:val="0"/>
        <w:autoSpaceDE w:val="0"/>
        <w:autoSpaceDN w:val="0"/>
        <w:adjustRightInd w:val="0"/>
        <w:textAlignment w:val="baseline"/>
      </w:pPr>
    </w:p>
    <w:p w14:paraId="06D2F8FD" w14:textId="06A409CE" w:rsidR="00CF6948" w:rsidRDefault="00CF6948" w:rsidP="00CF6948">
      <w:pPr>
        <w:widowControl/>
        <w:suppressAutoHyphens/>
        <w:overflowPunct w:val="0"/>
        <w:autoSpaceDE w:val="0"/>
        <w:autoSpaceDN w:val="0"/>
        <w:adjustRightInd w:val="0"/>
        <w:ind w:left="2160" w:hanging="720"/>
        <w:textAlignment w:val="baseline"/>
      </w:pPr>
      <w:r>
        <w:t>3)</w:t>
      </w:r>
      <w:r>
        <w:tab/>
        <w:t xml:space="preserve">The 4-day average concentration of total ammonia nitrogen (in mg/L) must not exceed the sub-chronic standard </w:t>
      </w:r>
      <w:r w:rsidR="00234565">
        <w:t xml:space="preserve">is </w:t>
      </w:r>
      <w:r>
        <w:t xml:space="preserve">except in those waters in which mixing is allowed </w:t>
      </w:r>
      <w:r w:rsidR="000F6365">
        <w:t xml:space="preserve">under </w:t>
      </w:r>
      <w:r>
        <w:t xml:space="preserve">Section 302.102.  Attainment of the sub-chronic standard is determined in </w:t>
      </w:r>
      <w:r w:rsidR="000F6365">
        <w:t>compliance</w:t>
      </w:r>
      <w:r>
        <w:t xml:space="preserve"> with subsection (e) by averaging daily sample results collected over four consecutive days within the 30-day averaging period.  The samples must be collected in a manner that assures a representative sampling period.</w:t>
      </w:r>
    </w:p>
    <w:p w14:paraId="66A6B708" w14:textId="77777777" w:rsidR="00CF6948" w:rsidRDefault="00CF6948" w:rsidP="00CF6948">
      <w:pPr>
        <w:widowControl/>
        <w:suppressAutoHyphens/>
        <w:overflowPunct w:val="0"/>
        <w:autoSpaceDE w:val="0"/>
        <w:autoSpaceDN w:val="0"/>
        <w:adjustRightInd w:val="0"/>
        <w:textAlignment w:val="baseline"/>
      </w:pPr>
    </w:p>
    <w:p w14:paraId="24C8A5CB" w14:textId="77777777" w:rsidR="00CF6948" w:rsidRDefault="00CF6948" w:rsidP="00CF6948">
      <w:pPr>
        <w:widowControl/>
        <w:suppressAutoHyphens/>
        <w:overflowPunct w:val="0"/>
        <w:autoSpaceDE w:val="0"/>
        <w:autoSpaceDN w:val="0"/>
        <w:adjustRightInd w:val="0"/>
        <w:ind w:left="1440" w:hanging="720"/>
        <w:textAlignment w:val="baseline"/>
      </w:pPr>
      <w:r>
        <w:t>e)</w:t>
      </w:r>
      <w:r>
        <w:tab/>
        <w:t>The water quality standard for each water body must be calculated based on the temperature and pH of the water body measured at the time of each ammonia sample.  The concentration of total ammonia in each sample must be divided by the calculated water quality standard for the sample to determine a quotient.  The water quality standard is attained if the mean of the sample quotients is less than or equal to one for the duration of the averaging period.</w:t>
      </w:r>
    </w:p>
    <w:p w14:paraId="408D2833" w14:textId="77777777" w:rsidR="00CF6948" w:rsidRDefault="00CF6948" w:rsidP="00CF6948"/>
    <w:p w14:paraId="024C0300" w14:textId="77777777" w:rsidR="00CF6948" w:rsidRDefault="00CF6948" w:rsidP="00CF6948">
      <w:pPr>
        <w:widowControl/>
        <w:tabs>
          <w:tab w:val="decimal" w:pos="8460"/>
        </w:tabs>
        <w:suppressAutoHyphens/>
        <w:overflowPunct w:val="0"/>
        <w:autoSpaceDE w:val="0"/>
        <w:autoSpaceDN w:val="0"/>
        <w:adjustRightInd w:val="0"/>
        <w:ind w:left="1440" w:hanging="720"/>
        <w:textAlignment w:val="baseline"/>
      </w:pPr>
      <w:r>
        <w:lastRenderedPageBreak/>
        <w:t>f)</w:t>
      </w:r>
      <w:r>
        <w:tab/>
        <w:t>The Early Life Stage Present period occurs from March through October.  All other periods are subject to the Early Life Stage Absent period, except that waters listed in 35 Ill. Adm. Code 303.240 are not subject to Early Life Stage Present ammonia limits at any time.</w:t>
      </w:r>
    </w:p>
    <w:p w14:paraId="391BBBA4" w14:textId="77777777" w:rsidR="00CF6948" w:rsidRDefault="00CF6948" w:rsidP="00CF6948"/>
    <w:p w14:paraId="77FA5599" w14:textId="77777777" w:rsidR="00CF6948" w:rsidRDefault="00CF6948" w:rsidP="00CF6948">
      <w:pPr>
        <w:widowControl/>
        <w:overflowPunct w:val="0"/>
        <w:autoSpaceDE w:val="0"/>
        <w:autoSpaceDN w:val="0"/>
        <w:adjustRightInd w:val="0"/>
        <w:ind w:left="720"/>
        <w:textAlignment w:val="baseline"/>
      </w:pPr>
      <w:r>
        <w:t xml:space="preserve">BOARD NOTE:  Acute and chronic standard concentrations for total ammonia nitrogen (in mg/L) for different combinations of pH and temperature are shown in Appendix C. </w:t>
      </w:r>
    </w:p>
    <w:p w14:paraId="59B2C950" w14:textId="77777777" w:rsidR="00CF6948" w:rsidRDefault="00CF6948" w:rsidP="00CF6948">
      <w:pPr>
        <w:widowControl/>
        <w:overflowPunct w:val="0"/>
        <w:autoSpaceDE w:val="0"/>
        <w:autoSpaceDN w:val="0"/>
        <w:adjustRightInd w:val="0"/>
        <w:textAlignment w:val="baseline"/>
      </w:pPr>
    </w:p>
    <w:p w14:paraId="3AE1F048" w14:textId="05D5662D" w:rsidR="00CF6948" w:rsidRDefault="000F6365" w:rsidP="00CF6948">
      <w:pPr>
        <w:widowControl/>
        <w:overflowPunct w:val="0"/>
        <w:autoSpaceDE w:val="0"/>
        <w:autoSpaceDN w:val="0"/>
        <w:adjustRightInd w:val="0"/>
        <w:ind w:firstLine="720"/>
        <w:textAlignment w:val="baseline"/>
      </w:pPr>
      <w:r>
        <w:t>(Source:  Amended at 4</w:t>
      </w:r>
      <w:r w:rsidR="00D90B3B">
        <w:t>7</w:t>
      </w:r>
      <w:r>
        <w:t xml:space="preserve"> Ill. Reg. </w:t>
      </w:r>
      <w:r w:rsidR="00B56A71">
        <w:t>4437</w:t>
      </w:r>
      <w:r>
        <w:t xml:space="preserve">, effective </w:t>
      </w:r>
      <w:r w:rsidR="00B56A71">
        <w:t>March 23, 2023</w:t>
      </w:r>
      <w:r>
        <w:t>)</w:t>
      </w:r>
    </w:p>
    <w:sectPr w:rsidR="00CF694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5341" w14:textId="77777777" w:rsidR="006B7A00" w:rsidRDefault="006B7A00">
      <w:r>
        <w:separator/>
      </w:r>
    </w:p>
  </w:endnote>
  <w:endnote w:type="continuationSeparator" w:id="0">
    <w:p w14:paraId="136C867D" w14:textId="77777777" w:rsidR="006B7A00" w:rsidRDefault="006B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5BD2" w14:textId="77777777" w:rsidR="006B7A00" w:rsidRDefault="006B7A00">
      <w:r>
        <w:separator/>
      </w:r>
    </w:p>
  </w:footnote>
  <w:footnote w:type="continuationSeparator" w:id="0">
    <w:p w14:paraId="56A421B6" w14:textId="77777777" w:rsidR="006B7A00" w:rsidRDefault="006B7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00"/>
    <w:rsid w:val="00000AED"/>
    <w:rsid w:val="00001F1D"/>
    <w:rsid w:val="00003CEF"/>
    <w:rsid w:val="00005CAE"/>
    <w:rsid w:val="00011A7D"/>
    <w:rsid w:val="000122C7"/>
    <w:rsid w:val="000133BC"/>
    <w:rsid w:val="00014324"/>
    <w:rsid w:val="000158C8"/>
    <w:rsid w:val="00016F74"/>
    <w:rsid w:val="000174EB"/>
    <w:rsid w:val="00023509"/>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365"/>
    <w:rsid w:val="000F6AB6"/>
    <w:rsid w:val="000F6C6D"/>
    <w:rsid w:val="00103C24"/>
    <w:rsid w:val="00110A0B"/>
    <w:rsid w:val="00114190"/>
    <w:rsid w:val="0012221A"/>
    <w:rsid w:val="00122307"/>
    <w:rsid w:val="0012429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B9D"/>
    <w:rsid w:val="00224D66"/>
    <w:rsid w:val="00225354"/>
    <w:rsid w:val="0022658A"/>
    <w:rsid w:val="0023173C"/>
    <w:rsid w:val="002324A0"/>
    <w:rsid w:val="002325F1"/>
    <w:rsid w:val="00234565"/>
    <w:rsid w:val="00235BC5"/>
    <w:rsid w:val="002375DD"/>
    <w:rsid w:val="00246C8D"/>
    <w:rsid w:val="002524EC"/>
    <w:rsid w:val="002542E3"/>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10BB"/>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B51"/>
    <w:rsid w:val="00550737"/>
    <w:rsid w:val="00550E08"/>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1036"/>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29FD"/>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B7A00"/>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D8D"/>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FFD"/>
    <w:rsid w:val="007B7316"/>
    <w:rsid w:val="007C4EE5"/>
    <w:rsid w:val="007C5434"/>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47B18"/>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4ECA"/>
    <w:rsid w:val="0093513C"/>
    <w:rsid w:val="00935A8C"/>
    <w:rsid w:val="00944E3D"/>
    <w:rsid w:val="00947AC3"/>
    <w:rsid w:val="00950386"/>
    <w:rsid w:val="009602D3"/>
    <w:rsid w:val="00960C37"/>
    <w:rsid w:val="00961E38"/>
    <w:rsid w:val="00965A76"/>
    <w:rsid w:val="00966D51"/>
    <w:rsid w:val="0097688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2870"/>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6A71"/>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6F7"/>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3C49"/>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E7A"/>
    <w:rsid w:val="00CF0FC7"/>
    <w:rsid w:val="00CF6948"/>
    <w:rsid w:val="00D03A79"/>
    <w:rsid w:val="00D0676C"/>
    <w:rsid w:val="00D10D50"/>
    <w:rsid w:val="00D17DC3"/>
    <w:rsid w:val="00D2155A"/>
    <w:rsid w:val="00D27015"/>
    <w:rsid w:val="00D2776C"/>
    <w:rsid w:val="00D27E4E"/>
    <w:rsid w:val="00D32AA7"/>
    <w:rsid w:val="00D337D2"/>
    <w:rsid w:val="00D33832"/>
    <w:rsid w:val="00D453EE"/>
    <w:rsid w:val="00D46468"/>
    <w:rsid w:val="00D50E6C"/>
    <w:rsid w:val="00D55B37"/>
    <w:rsid w:val="00D5634E"/>
    <w:rsid w:val="00D64B08"/>
    <w:rsid w:val="00D70D8F"/>
    <w:rsid w:val="00D767DE"/>
    <w:rsid w:val="00D76B84"/>
    <w:rsid w:val="00D77DCF"/>
    <w:rsid w:val="00D876AB"/>
    <w:rsid w:val="00D87E2A"/>
    <w:rsid w:val="00D90457"/>
    <w:rsid w:val="00D90B3B"/>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25CC"/>
    <w:rsid w:val="00DE3439"/>
    <w:rsid w:val="00DE42D9"/>
    <w:rsid w:val="00DE5010"/>
    <w:rsid w:val="00DF0813"/>
    <w:rsid w:val="00DF25BD"/>
    <w:rsid w:val="00E0634B"/>
    <w:rsid w:val="00E11728"/>
    <w:rsid w:val="00E16B25"/>
    <w:rsid w:val="00E21CD6"/>
    <w:rsid w:val="00E24167"/>
    <w:rsid w:val="00E24878"/>
    <w:rsid w:val="00E30395"/>
    <w:rsid w:val="00E3312C"/>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1BAD9A4"/>
  <w15:chartTrackingRefBased/>
  <w15:docId w15:val="{3AE9B9DC-D61D-4756-873B-4CA7760E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C49"/>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link w:val="HeaderChar"/>
    <w:uiPriority w:val="99"/>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114588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2023-04-05T18:16:00Z</dcterms:created>
  <dcterms:modified xsi:type="dcterms:W3CDTF">2023-04-06T21:05:00Z</dcterms:modified>
</cp:coreProperties>
</file>