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DF" w:rsidRDefault="00A670DF" w:rsidP="001D0A47">
      <w:pPr>
        <w:rPr>
          <w:b/>
        </w:rPr>
      </w:pPr>
    </w:p>
    <w:p w:rsidR="001D0A47" w:rsidRPr="00A07177" w:rsidRDefault="001D0A47" w:rsidP="001D0A47">
      <w:pPr>
        <w:rPr>
          <w:b/>
        </w:rPr>
      </w:pPr>
      <w:r w:rsidRPr="00A07177">
        <w:rPr>
          <w:b/>
        </w:rPr>
        <w:t>Section 2</w:t>
      </w:r>
      <w:r>
        <w:rPr>
          <w:b/>
        </w:rPr>
        <w:t>49</w:t>
      </w:r>
      <w:r w:rsidRPr="00A07177">
        <w:rPr>
          <w:b/>
        </w:rPr>
        <w:t>.110  Ethylene Oxide Ambient Air Monitoring Requirements</w:t>
      </w:r>
    </w:p>
    <w:p w:rsidR="001D0A47" w:rsidRDefault="001D0A47" w:rsidP="001D0A47"/>
    <w:p w:rsidR="001D0A47" w:rsidRDefault="001D0A47" w:rsidP="001D0A47">
      <w:pPr>
        <w:ind w:left="1440" w:hanging="720"/>
      </w:pPr>
      <w:r>
        <w:t>a)</w:t>
      </w:r>
      <w:r>
        <w:tab/>
        <w:t xml:space="preserve">The Agency </w:t>
      </w:r>
      <w:r w:rsidR="00B62BC9">
        <w:t>must</w:t>
      </w:r>
      <w:r>
        <w:t xml:space="preserve"> conduct ambient air monitoring for ethylene oxide in or around each location specified in Section 2</w:t>
      </w:r>
      <w:r w:rsidR="00A670DF">
        <w:t>49</w:t>
      </w:r>
      <w:r>
        <w:t xml:space="preserve">.105 for a period of six consecutive calendar months.  During that time frame, the Agency </w:t>
      </w:r>
      <w:r w:rsidR="00B62BC9">
        <w:t>must</w:t>
      </w:r>
      <w:r>
        <w:t xml:space="preserve"> collect a sample every 12 days.  Each sample </w:t>
      </w:r>
      <w:r w:rsidR="00B62BC9">
        <w:t>must</w:t>
      </w:r>
      <w:r>
        <w:t xml:space="preserve"> be collected over a period of approximately 24 hours.</w:t>
      </w:r>
    </w:p>
    <w:p w:rsidR="001D0A47" w:rsidRDefault="001D0A47" w:rsidP="005C607F"/>
    <w:p w:rsidR="001D0A47" w:rsidRDefault="001D0A47" w:rsidP="001D0A47">
      <w:pPr>
        <w:ind w:left="1440" w:hanging="720"/>
      </w:pPr>
      <w:r>
        <w:t>b)</w:t>
      </w:r>
      <w:r>
        <w:tab/>
        <w:t xml:space="preserve">The six-month monitoring period </w:t>
      </w:r>
      <w:r w:rsidR="00B62BC9">
        <w:t>must</w:t>
      </w:r>
      <w:r>
        <w:t xml:space="preserve"> commence no later than one year after </w:t>
      </w:r>
      <w:r w:rsidR="005C607F">
        <w:t>January 25, 2021</w:t>
      </w:r>
      <w:r>
        <w:t>.</w:t>
      </w:r>
    </w:p>
    <w:p w:rsidR="001D0A47" w:rsidRDefault="001D0A47" w:rsidP="005C607F"/>
    <w:p w:rsidR="001D0A47" w:rsidRDefault="001D0A47" w:rsidP="001D0A47">
      <w:pPr>
        <w:ind w:left="1440" w:hanging="720"/>
      </w:pPr>
      <w:r>
        <w:t>c)</w:t>
      </w:r>
      <w:r>
        <w:tab/>
        <w:t xml:space="preserve">The Agency </w:t>
      </w:r>
      <w:r w:rsidR="00B62BC9">
        <w:t>must</w:t>
      </w:r>
      <w:r>
        <w:t xml:space="preserve"> comply with all applicable USEPA </w:t>
      </w:r>
      <w:r w:rsidR="00B62BC9">
        <w:t xml:space="preserve">regulations and </w:t>
      </w:r>
      <w:r>
        <w:t>guidelines for ambient air monitoring.</w:t>
      </w:r>
      <w:bookmarkStart w:id="0" w:name="_GoBack"/>
      <w:bookmarkEnd w:id="0"/>
    </w:p>
    <w:sectPr w:rsidR="001D0A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F8" w:rsidRDefault="00D80DF8">
      <w:r>
        <w:separator/>
      </w:r>
    </w:p>
  </w:endnote>
  <w:endnote w:type="continuationSeparator" w:id="0">
    <w:p w:rsidR="00D80DF8" w:rsidRDefault="00D8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F8" w:rsidRDefault="00D80DF8">
      <w:r>
        <w:separator/>
      </w:r>
    </w:p>
  </w:footnote>
  <w:footnote w:type="continuationSeparator" w:id="0">
    <w:p w:rsidR="00D80DF8" w:rsidRDefault="00D8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A47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07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0DF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BC9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DF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521E-A71A-45FD-BACA-7F700886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4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501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2020-01-21T20:39:00Z</dcterms:created>
  <dcterms:modified xsi:type="dcterms:W3CDTF">2021-01-28T15:21:00Z</dcterms:modified>
</cp:coreProperties>
</file>