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F3" w:rsidRDefault="00FE47F3" w:rsidP="00FE47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47F3" w:rsidRDefault="00FE47F3" w:rsidP="00FE47F3">
      <w:pPr>
        <w:widowControl w:val="0"/>
        <w:autoSpaceDE w:val="0"/>
        <w:autoSpaceDN w:val="0"/>
        <w:adjustRightInd w:val="0"/>
        <w:jc w:val="center"/>
      </w:pPr>
      <w:r>
        <w:t>SUBPART B:  LOCAL AGENCY RESPONSIBILITIES</w:t>
      </w:r>
    </w:p>
    <w:sectPr w:rsidR="00FE47F3" w:rsidSect="00FE47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47F3"/>
    <w:rsid w:val="00200C32"/>
    <w:rsid w:val="005C3366"/>
    <w:rsid w:val="00E737A8"/>
    <w:rsid w:val="00F67489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LOCAL AGENCY RESPONSIBILITIES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LOCAL AGENCY RESPONSIBILITIES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