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E31" w:rsidRDefault="00AD4E31" w:rsidP="00AD4E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4E31" w:rsidRDefault="00AD4E31" w:rsidP="00AD4E31">
      <w:pPr>
        <w:widowControl w:val="0"/>
        <w:autoSpaceDE w:val="0"/>
        <w:autoSpaceDN w:val="0"/>
        <w:adjustRightInd w:val="0"/>
      </w:pPr>
      <w:r>
        <w:t>SOURCE:  Adopted in R90-1 at 16 Ill. Reg. 16592, effective October 18, 1992; amended in R96-4 at 21 Ill. Reg.</w:t>
      </w:r>
      <w:r w:rsidR="003A3C39">
        <w:t xml:space="preserve"> 6237, effective May 12, 1997. </w:t>
      </w:r>
    </w:p>
    <w:sectPr w:rsidR="00AD4E31" w:rsidSect="00AD4E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4E31"/>
    <w:rsid w:val="003A3C39"/>
    <w:rsid w:val="00577D66"/>
    <w:rsid w:val="005C3366"/>
    <w:rsid w:val="00AD4E31"/>
    <w:rsid w:val="00B76CC6"/>
    <w:rsid w:val="00F5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in R90-1 at 16 Ill</vt:lpstr>
    </vt:vector>
  </TitlesOfParts>
  <Company>State of Illinois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in R90-1 at 16 Ill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