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0" w:rsidRDefault="00DE7E3C" w:rsidP="00DE7E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EMISSION STANDARDS AND LIMITATIONS</w:t>
      </w:r>
    </w:p>
    <w:p w:rsidR="00DE7E3C" w:rsidRDefault="00DE7E3C" w:rsidP="00DE7E3C">
      <w:pPr>
        <w:widowControl w:val="0"/>
        <w:autoSpaceDE w:val="0"/>
        <w:autoSpaceDN w:val="0"/>
        <w:adjustRightInd w:val="0"/>
        <w:jc w:val="center"/>
      </w:pPr>
      <w:r>
        <w:t xml:space="preserve"> FOR STATIONARY SOURCES</w:t>
      </w:r>
    </w:p>
    <w:sectPr w:rsidR="00DE7E3C" w:rsidSect="00DE7E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E3C"/>
    <w:rsid w:val="00516AFA"/>
    <w:rsid w:val="00521C19"/>
    <w:rsid w:val="005C3366"/>
    <w:rsid w:val="00B859F0"/>
    <w:rsid w:val="00DE7E3C"/>
    <w:rsid w:val="00E1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EMISSION STANDARDS AND LIMITATIONS FOR STATIONARY SOURCES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EMISSION STANDARDS AND LIMITATIONS FOR STATIONARY SOURCES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