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EEA" w:rsidRPr="00741A24" w:rsidRDefault="00847EEA" w:rsidP="00847EEA">
      <w:pPr>
        <w:tabs>
          <w:tab w:val="left" w:pos="720"/>
          <w:tab w:val="left" w:pos="1440"/>
        </w:tabs>
        <w:ind w:left="2160" w:hanging="2160"/>
        <w:rPr>
          <w:b/>
        </w:rPr>
      </w:pPr>
      <w:bookmarkStart w:id="0" w:name="_GoBack"/>
      <w:bookmarkEnd w:id="0"/>
    </w:p>
    <w:p w:rsidR="00847EEA" w:rsidRPr="00741A24" w:rsidRDefault="00847EEA" w:rsidP="00847EEA">
      <w:pPr>
        <w:tabs>
          <w:tab w:val="left" w:pos="720"/>
          <w:tab w:val="left" w:pos="1440"/>
        </w:tabs>
        <w:ind w:left="2160" w:hanging="2160"/>
        <w:rPr>
          <w:b/>
        </w:rPr>
      </w:pPr>
      <w:r w:rsidRPr="00741A24">
        <w:rPr>
          <w:b/>
        </w:rPr>
        <w:t>Section 219.891  Emission Limitations and Control Requirements</w:t>
      </w:r>
    </w:p>
    <w:p w:rsidR="001C71C2" w:rsidRPr="00741A24" w:rsidRDefault="001C71C2" w:rsidP="00573770"/>
    <w:p w:rsidR="00847EEA" w:rsidRPr="00741A24" w:rsidRDefault="00DC1DD9" w:rsidP="001B5F3E">
      <w:pPr>
        <w:tabs>
          <w:tab w:val="left" w:pos="720"/>
        </w:tabs>
        <w:ind w:left="1440" w:hanging="2139"/>
      </w:pPr>
      <w:r>
        <w:tab/>
      </w:r>
      <w:r w:rsidR="00847EEA" w:rsidRPr="00741A24">
        <w:t>a)</w:t>
      </w:r>
      <w:r w:rsidR="00847EEA" w:rsidRPr="00741A24">
        <w:tab/>
        <w:t xml:space="preserve">Except as provided in subsection (f) of this Section, no owner or operator of a source subject to the requirements of this Subpart shall use a subject resin or gel coat at the source unless the resin and gel coat comply with subsection (b)(1) or (b)(2), (c), or (d) of this Section, as well as with subsections (e), (g), and (h) of this Section.  For sources complying pursuant to subsection (b) or (c) of this Section, if the non-monomer VOM content of a resin or gel coat exceeds 5 percent, by weight, the excess non-monomer VOM shall be added to the monomer VOM content of </w:t>
      </w:r>
      <w:r w:rsidR="00285B27">
        <w:t xml:space="preserve">the </w:t>
      </w:r>
      <w:r w:rsidR="00847EEA" w:rsidRPr="00741A24">
        <w:t>resin or gel coat</w:t>
      </w:r>
      <w:r w:rsidR="008868A5">
        <w:t>.  The excess non-monomer VOM shall be calculated</w:t>
      </w:r>
      <w:r w:rsidR="00847EEA" w:rsidRPr="00741A24">
        <w:t xml:space="preserve"> in accordance with the </w:t>
      </w:r>
      <w:r w:rsidR="00061B45">
        <w:t xml:space="preserve">following </w:t>
      </w:r>
      <w:r w:rsidR="00847EEA" w:rsidRPr="00741A24">
        <w:t>equation:</w:t>
      </w:r>
    </w:p>
    <w:p w:rsidR="00DC5B52" w:rsidRDefault="00DC5B52" w:rsidP="00847EEA">
      <w:pPr>
        <w:ind w:left="1440" w:firstLine="720"/>
      </w:pPr>
    </w:p>
    <w:tbl>
      <w:tblPr>
        <w:tblW w:w="0" w:type="auto"/>
        <w:tblInd w:w="2160" w:type="dxa"/>
        <w:tblLayout w:type="fixed"/>
        <w:tblLook w:val="0000" w:firstRow="0" w:lastRow="0" w:firstColumn="0" w:lastColumn="0" w:noHBand="0" w:noVBand="0"/>
      </w:tblPr>
      <w:tblGrid>
        <w:gridCol w:w="2070"/>
        <w:gridCol w:w="243"/>
        <w:gridCol w:w="3102"/>
        <w:tblGridChange w:id="1">
          <w:tblGrid>
            <w:gridCol w:w="2070"/>
            <w:gridCol w:w="243"/>
            <w:gridCol w:w="3102"/>
          </w:tblGrid>
        </w:tblGridChange>
      </w:tblGrid>
      <w:tr w:rsidR="00DC1DD9" w:rsidTr="009616E5">
        <w:tblPrEx>
          <w:tblCellMar>
            <w:top w:w="0" w:type="dxa"/>
            <w:bottom w:w="0" w:type="dxa"/>
          </w:tblCellMar>
        </w:tblPrEx>
        <w:tc>
          <w:tcPr>
            <w:tcW w:w="2070" w:type="dxa"/>
            <w:vAlign w:val="center"/>
          </w:tcPr>
          <w:p w:rsidR="00DC1DD9" w:rsidRDefault="00DC1DD9" w:rsidP="00247D57">
            <w:pPr>
              <w:ind w:left="130"/>
              <w:jc w:val="center"/>
            </w:pPr>
            <w:r>
              <w:t>Excess Non-Monomer VOM</w:t>
            </w:r>
          </w:p>
        </w:tc>
        <w:tc>
          <w:tcPr>
            <w:tcW w:w="243" w:type="dxa"/>
            <w:vAlign w:val="center"/>
          </w:tcPr>
          <w:p w:rsidR="00DC1DD9" w:rsidRDefault="00DC1DD9" w:rsidP="00DC1DD9">
            <w:pPr>
              <w:ind w:left="-126" w:right="-126"/>
              <w:jc w:val="center"/>
            </w:pPr>
            <w:r>
              <w:t>=</w:t>
            </w:r>
          </w:p>
        </w:tc>
        <w:tc>
          <w:tcPr>
            <w:tcW w:w="3102" w:type="dxa"/>
          </w:tcPr>
          <w:p w:rsidR="009616E5" w:rsidRDefault="00DC1DD9" w:rsidP="009616E5">
            <w:pPr>
              <w:jc w:val="center"/>
            </w:pPr>
            <w:r>
              <w:t>Non-monomer VOM Content</w:t>
            </w:r>
          </w:p>
          <w:p w:rsidR="00DC1DD9" w:rsidRDefault="00DC1DD9" w:rsidP="009616E5">
            <w:pPr>
              <w:jc w:val="center"/>
            </w:pPr>
            <w:r>
              <w:t>– 5 percent, by weight</w:t>
            </w:r>
          </w:p>
        </w:tc>
      </w:tr>
    </w:tbl>
    <w:p w:rsidR="00DC1DD9" w:rsidRDefault="00DC1DD9" w:rsidP="00DC1DD9">
      <w:pPr>
        <w:ind w:left="1425" w:firstLine="735"/>
      </w:pPr>
    </w:p>
    <w:p w:rsidR="00847EEA" w:rsidRPr="00741A24" w:rsidRDefault="00847EEA" w:rsidP="00847EEA">
      <w:pPr>
        <w:tabs>
          <w:tab w:val="left" w:pos="720"/>
          <w:tab w:val="left" w:pos="1440"/>
        </w:tabs>
        <w:ind w:left="1440" w:hanging="756"/>
      </w:pPr>
      <w:r w:rsidRPr="00741A24">
        <w:t>b)</w:t>
      </w:r>
      <w:r w:rsidRPr="00741A24">
        <w:tab/>
        <w:t>VOM Content Limitations</w:t>
      </w:r>
    </w:p>
    <w:p w:rsidR="00847EEA" w:rsidRPr="00741A24" w:rsidRDefault="00847EEA" w:rsidP="00847EEA">
      <w:pPr>
        <w:tabs>
          <w:tab w:val="left" w:pos="720"/>
          <w:tab w:val="left" w:pos="1440"/>
        </w:tabs>
        <w:ind w:left="1440" w:hanging="1440"/>
      </w:pPr>
    </w:p>
    <w:p w:rsidR="00847EEA" w:rsidRPr="00741A24" w:rsidRDefault="00847EEA" w:rsidP="00847EEA">
      <w:pPr>
        <w:tabs>
          <w:tab w:val="left" w:pos="720"/>
          <w:tab w:val="left" w:pos="1440"/>
        </w:tabs>
        <w:ind w:left="2160" w:hanging="735"/>
      </w:pPr>
      <w:r w:rsidRPr="00741A24">
        <w:t>1)</w:t>
      </w:r>
      <w:r w:rsidRPr="00741A24">
        <w:tab/>
        <w:t>Except as provided in subsection (e) of this Section, the monomer VOM content of a subject resin or gel coat shall not exceed the following limitations</w:t>
      </w:r>
      <w:r w:rsidR="0061548C">
        <w:t>:</w:t>
      </w:r>
      <w:r w:rsidRPr="00741A24">
        <w:t xml:space="preserve">  </w:t>
      </w:r>
    </w:p>
    <w:p w:rsidR="00847EEA" w:rsidRPr="00741A24" w:rsidRDefault="00847EEA" w:rsidP="00847EEA">
      <w:pPr>
        <w:tabs>
          <w:tab w:val="left" w:pos="720"/>
          <w:tab w:val="left" w:pos="1440"/>
        </w:tabs>
        <w:ind w:left="1440" w:hanging="1440"/>
      </w:pPr>
    </w:p>
    <w:tbl>
      <w:tblPr>
        <w:tblW w:w="7652" w:type="dxa"/>
        <w:tblInd w:w="1240" w:type="dxa"/>
        <w:tblBorders>
          <w:top w:val="dashed" w:sz="32" w:space="9" w:color="auto"/>
          <w:left w:val="single" w:sz="12" w:space="4" w:color="auto"/>
          <w:bottom w:val="dashed" w:sz="24" w:space="0" w:color="auto"/>
          <w:right w:val="dashed" w:sz="44" w:space="0" w:color="auto"/>
        </w:tblBorders>
        <w:tblLayout w:type="fixed"/>
        <w:tblCellMar>
          <w:left w:w="0" w:type="dxa"/>
          <w:right w:w="0" w:type="dxa"/>
        </w:tblCellMar>
        <w:tblLook w:val="0000" w:firstRow="0" w:lastRow="0" w:firstColumn="0" w:lastColumn="0" w:noHBand="0" w:noVBand="0"/>
      </w:tblPr>
      <w:tblGrid>
        <w:gridCol w:w="20"/>
        <w:gridCol w:w="655"/>
        <w:gridCol w:w="142"/>
        <w:gridCol w:w="11"/>
        <w:gridCol w:w="666"/>
        <w:gridCol w:w="101"/>
        <w:gridCol w:w="601"/>
        <w:gridCol w:w="3162"/>
        <w:gridCol w:w="11"/>
        <w:gridCol w:w="725"/>
        <w:gridCol w:w="644"/>
        <w:gridCol w:w="914"/>
      </w:tblGrid>
      <w:tr w:rsidR="001B5F3E" w:rsidRPr="00741A24" w:rsidTr="005F1AA8">
        <w:tblPrEx>
          <w:tblCellMar>
            <w:top w:w="0" w:type="dxa"/>
            <w:left w:w="0" w:type="dxa"/>
            <w:bottom w:w="0" w:type="dxa"/>
            <w:right w:w="0" w:type="dxa"/>
          </w:tblCellMar>
        </w:tblPrEx>
        <w:trPr>
          <w:trHeight w:val="573"/>
        </w:trPr>
        <w:tc>
          <w:tcPr>
            <w:tcW w:w="20" w:type="dxa"/>
            <w:tcBorders>
              <w:top w:val="nil"/>
              <w:left w:val="nil"/>
              <w:bottom w:val="nil"/>
              <w:right w:val="nil"/>
            </w:tcBorders>
          </w:tcPr>
          <w:p w:rsidR="001B5F3E" w:rsidRPr="00741A24" w:rsidRDefault="001B5F3E" w:rsidP="001E10FD">
            <w:pPr>
              <w:autoSpaceDE w:val="0"/>
              <w:autoSpaceDN w:val="0"/>
              <w:adjustRightInd w:val="0"/>
              <w:ind w:right="-135"/>
            </w:pPr>
          </w:p>
        </w:tc>
        <w:tc>
          <w:tcPr>
            <w:tcW w:w="5349" w:type="dxa"/>
            <w:gridSpan w:val="8"/>
            <w:tcBorders>
              <w:top w:val="nil"/>
              <w:left w:val="nil"/>
              <w:bottom w:val="nil"/>
              <w:right w:val="nil"/>
            </w:tcBorders>
          </w:tcPr>
          <w:p w:rsidR="001B5F3E" w:rsidRPr="00741A24" w:rsidRDefault="001B5F3E" w:rsidP="001E10FD">
            <w:pPr>
              <w:autoSpaceDE w:val="0"/>
              <w:autoSpaceDN w:val="0"/>
              <w:adjustRightInd w:val="0"/>
              <w:ind w:left="180"/>
            </w:pPr>
          </w:p>
        </w:tc>
        <w:tc>
          <w:tcPr>
            <w:tcW w:w="2283" w:type="dxa"/>
            <w:gridSpan w:val="3"/>
            <w:tcBorders>
              <w:top w:val="nil"/>
              <w:left w:val="nil"/>
              <w:bottom w:val="nil"/>
              <w:right w:val="nil"/>
            </w:tcBorders>
          </w:tcPr>
          <w:p w:rsidR="001B5F3E" w:rsidRPr="00741A24" w:rsidRDefault="001B5F3E" w:rsidP="00A70F12">
            <w:pPr>
              <w:ind w:left="257"/>
            </w:pPr>
            <w:r w:rsidRPr="00741A24">
              <w:t xml:space="preserve">Weighted average monomer VOM content </w:t>
            </w:r>
          </w:p>
          <w:p w:rsidR="001B5F3E" w:rsidRPr="00741A24" w:rsidRDefault="001B5F3E" w:rsidP="00A70F12">
            <w:pPr>
              <w:ind w:left="257"/>
            </w:pPr>
            <w:r w:rsidRPr="00741A24">
              <w:t>(weight percent)</w:t>
            </w:r>
          </w:p>
        </w:tc>
      </w:tr>
      <w:tr w:rsidR="001B5F3E" w:rsidRPr="00741A24" w:rsidTr="00A70F12">
        <w:tblPrEx>
          <w:tblCellMar>
            <w:top w:w="0" w:type="dxa"/>
            <w:left w:w="0" w:type="dxa"/>
            <w:bottom w:w="0" w:type="dxa"/>
            <w:right w:w="0" w:type="dxa"/>
          </w:tblCellMar>
        </w:tblPrEx>
        <w:tc>
          <w:tcPr>
            <w:tcW w:w="7652" w:type="dxa"/>
            <w:gridSpan w:val="12"/>
            <w:tcBorders>
              <w:top w:val="nil"/>
              <w:left w:val="nil"/>
              <w:bottom w:val="nil"/>
              <w:right w:val="nil"/>
            </w:tcBorders>
          </w:tcPr>
          <w:p w:rsidR="001B5F3E" w:rsidRPr="00741A24" w:rsidRDefault="001B5F3E" w:rsidP="001E10FD">
            <w:pPr>
              <w:autoSpaceDE w:val="0"/>
              <w:autoSpaceDN w:val="0"/>
              <w:adjustRightInd w:val="0"/>
              <w:ind w:left="74"/>
            </w:pPr>
          </w:p>
        </w:tc>
      </w:tr>
      <w:tr w:rsidR="001B5F3E" w:rsidRPr="00741A24" w:rsidTr="005F1AA8">
        <w:tblPrEx>
          <w:tblCellMar>
            <w:top w:w="0" w:type="dxa"/>
            <w:left w:w="0" w:type="dxa"/>
            <w:bottom w:w="0" w:type="dxa"/>
            <w:right w:w="0" w:type="dxa"/>
          </w:tblCellMar>
        </w:tblPrEx>
        <w:tc>
          <w:tcPr>
            <w:tcW w:w="675" w:type="dxa"/>
            <w:gridSpan w:val="2"/>
            <w:vMerge w:val="restart"/>
            <w:tcBorders>
              <w:top w:val="nil"/>
              <w:left w:val="nil"/>
              <w:right w:val="nil"/>
            </w:tcBorders>
          </w:tcPr>
          <w:p w:rsidR="001B5F3E" w:rsidRPr="00741A24" w:rsidRDefault="001B5F3E" w:rsidP="001E10FD">
            <w:pPr>
              <w:autoSpaceDE w:val="0"/>
              <w:autoSpaceDN w:val="0"/>
              <w:adjustRightInd w:val="0"/>
            </w:pPr>
          </w:p>
        </w:tc>
        <w:tc>
          <w:tcPr>
            <w:tcW w:w="819" w:type="dxa"/>
            <w:gridSpan w:val="3"/>
            <w:tcBorders>
              <w:top w:val="nil"/>
              <w:left w:val="nil"/>
              <w:bottom w:val="nil"/>
              <w:right w:val="nil"/>
            </w:tcBorders>
          </w:tcPr>
          <w:p w:rsidR="001B5F3E" w:rsidRPr="00741A24" w:rsidRDefault="001B5F3E" w:rsidP="001E10FD">
            <w:pPr>
              <w:autoSpaceDE w:val="0"/>
              <w:autoSpaceDN w:val="0"/>
              <w:adjustRightInd w:val="0"/>
              <w:ind w:left="216" w:right="-399"/>
            </w:pPr>
            <w:r w:rsidRPr="00741A24">
              <w:t>A)</w:t>
            </w:r>
          </w:p>
        </w:tc>
        <w:tc>
          <w:tcPr>
            <w:tcW w:w="3875" w:type="dxa"/>
            <w:gridSpan w:val="4"/>
            <w:tcBorders>
              <w:top w:val="nil"/>
              <w:left w:val="nil"/>
              <w:bottom w:val="nil"/>
              <w:right w:val="nil"/>
            </w:tcBorders>
          </w:tcPr>
          <w:p w:rsidR="001B5F3E" w:rsidRPr="00741A24" w:rsidRDefault="001B5F3E" w:rsidP="001E10FD">
            <w:pPr>
              <w:autoSpaceDE w:val="0"/>
              <w:autoSpaceDN w:val="0"/>
              <w:adjustRightInd w:val="0"/>
              <w:ind w:left="88"/>
            </w:pPr>
            <w:r w:rsidRPr="00741A24">
              <w:t>Production resin</w:t>
            </w:r>
          </w:p>
        </w:tc>
        <w:tc>
          <w:tcPr>
            <w:tcW w:w="725" w:type="dxa"/>
            <w:tcBorders>
              <w:top w:val="nil"/>
              <w:left w:val="nil"/>
              <w:bottom w:val="nil"/>
              <w:right w:val="nil"/>
            </w:tcBorders>
          </w:tcPr>
          <w:p w:rsidR="001B5F3E" w:rsidRPr="00741A24" w:rsidRDefault="001B5F3E" w:rsidP="001E10FD">
            <w:pPr>
              <w:autoSpaceDE w:val="0"/>
              <w:autoSpaceDN w:val="0"/>
              <w:adjustRightInd w:val="0"/>
              <w:ind w:left="62"/>
            </w:pPr>
          </w:p>
        </w:tc>
        <w:tc>
          <w:tcPr>
            <w:tcW w:w="1558" w:type="dxa"/>
            <w:gridSpan w:val="2"/>
            <w:tcBorders>
              <w:top w:val="nil"/>
              <w:left w:val="nil"/>
              <w:bottom w:val="nil"/>
              <w:right w:val="nil"/>
            </w:tcBorders>
          </w:tcPr>
          <w:p w:rsidR="001B5F3E" w:rsidRPr="00741A24" w:rsidRDefault="001B5F3E" w:rsidP="001E10FD">
            <w:pPr>
              <w:autoSpaceDE w:val="0"/>
              <w:autoSpaceDN w:val="0"/>
              <w:adjustRightInd w:val="0"/>
              <w:ind w:left="74"/>
            </w:pPr>
          </w:p>
        </w:tc>
      </w:tr>
      <w:tr w:rsidR="001B5F3E" w:rsidRPr="00741A24" w:rsidTr="005F1AA8">
        <w:tblPrEx>
          <w:tblCellMar>
            <w:top w:w="0" w:type="dxa"/>
            <w:left w:w="0" w:type="dxa"/>
            <w:bottom w:w="0" w:type="dxa"/>
            <w:right w:w="0" w:type="dxa"/>
          </w:tblCellMar>
        </w:tblPrEx>
        <w:trPr>
          <w:trHeight w:val="80"/>
        </w:trPr>
        <w:tc>
          <w:tcPr>
            <w:tcW w:w="675" w:type="dxa"/>
            <w:gridSpan w:val="2"/>
            <w:vMerge/>
            <w:tcBorders>
              <w:left w:val="nil"/>
              <w:right w:val="nil"/>
            </w:tcBorders>
          </w:tcPr>
          <w:p w:rsidR="001B5F3E" w:rsidRPr="00741A24" w:rsidRDefault="001B5F3E" w:rsidP="001E10FD">
            <w:pPr>
              <w:autoSpaceDE w:val="0"/>
              <w:autoSpaceDN w:val="0"/>
              <w:adjustRightInd w:val="0"/>
            </w:pPr>
          </w:p>
        </w:tc>
        <w:tc>
          <w:tcPr>
            <w:tcW w:w="6977" w:type="dxa"/>
            <w:gridSpan w:val="10"/>
            <w:tcBorders>
              <w:top w:val="nil"/>
              <w:left w:val="nil"/>
              <w:right w:val="nil"/>
            </w:tcBorders>
          </w:tcPr>
          <w:p w:rsidR="001B5F3E" w:rsidRPr="00741A24" w:rsidRDefault="001B5F3E" w:rsidP="001E10FD">
            <w:pPr>
              <w:autoSpaceDE w:val="0"/>
              <w:autoSpaceDN w:val="0"/>
              <w:adjustRightInd w:val="0"/>
              <w:ind w:left="74"/>
            </w:pPr>
          </w:p>
        </w:tc>
      </w:tr>
      <w:tr w:rsidR="00A70F12" w:rsidRPr="00741A24" w:rsidTr="005F1AA8">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c>
          <w:tcPr>
            <w:tcW w:w="1595" w:type="dxa"/>
            <w:gridSpan w:val="6"/>
          </w:tcPr>
          <w:p w:rsidR="00A70F12" w:rsidRPr="00741A24" w:rsidRDefault="00A70F12" w:rsidP="001E10FD">
            <w:pPr>
              <w:autoSpaceDE w:val="0"/>
              <w:autoSpaceDN w:val="0"/>
              <w:adjustRightInd w:val="0"/>
            </w:pPr>
          </w:p>
        </w:tc>
        <w:tc>
          <w:tcPr>
            <w:tcW w:w="601" w:type="dxa"/>
          </w:tcPr>
          <w:p w:rsidR="00A70F12" w:rsidRPr="00741A24" w:rsidRDefault="00A70F12" w:rsidP="001E10FD">
            <w:pPr>
              <w:autoSpaceDE w:val="0"/>
              <w:autoSpaceDN w:val="0"/>
              <w:adjustRightInd w:val="0"/>
            </w:pPr>
            <w:r w:rsidRPr="00741A24">
              <w:t>i)</w:t>
            </w:r>
          </w:p>
        </w:tc>
        <w:tc>
          <w:tcPr>
            <w:tcW w:w="3162" w:type="dxa"/>
          </w:tcPr>
          <w:p w:rsidR="00A70F12" w:rsidRPr="00741A24" w:rsidRDefault="00A70F12" w:rsidP="001E10FD">
            <w:pPr>
              <w:autoSpaceDE w:val="0"/>
              <w:autoSpaceDN w:val="0"/>
              <w:adjustRightInd w:val="0"/>
            </w:pPr>
            <w:r w:rsidRPr="00741A24">
              <w:t>Atomized spray</w:t>
            </w:r>
          </w:p>
        </w:tc>
        <w:tc>
          <w:tcPr>
            <w:tcW w:w="2294" w:type="dxa"/>
            <w:gridSpan w:val="4"/>
            <w:vAlign w:val="bottom"/>
          </w:tcPr>
          <w:p w:rsidR="00A70F12" w:rsidRPr="00741A24" w:rsidRDefault="00A70F12" w:rsidP="00A70F12">
            <w:pPr>
              <w:autoSpaceDE w:val="0"/>
              <w:autoSpaceDN w:val="0"/>
              <w:adjustRightInd w:val="0"/>
              <w:jc w:val="center"/>
            </w:pPr>
            <w:r w:rsidRPr="00741A24">
              <w:t>28</w:t>
            </w:r>
          </w:p>
        </w:tc>
      </w:tr>
      <w:tr w:rsidR="00A70F12" w:rsidRPr="00741A24" w:rsidTr="00A70F12">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c>
          <w:tcPr>
            <w:tcW w:w="7652" w:type="dxa"/>
            <w:gridSpan w:val="12"/>
          </w:tcPr>
          <w:p w:rsidR="00A70F12" w:rsidRPr="00741A24" w:rsidRDefault="00A70F12" w:rsidP="00A70F12">
            <w:pPr>
              <w:autoSpaceDE w:val="0"/>
              <w:autoSpaceDN w:val="0"/>
              <w:adjustRightInd w:val="0"/>
              <w:jc w:val="center"/>
            </w:pPr>
          </w:p>
        </w:tc>
      </w:tr>
      <w:tr w:rsidR="00A70F12" w:rsidRPr="00741A24" w:rsidTr="00285B27">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c>
          <w:tcPr>
            <w:tcW w:w="1595" w:type="dxa"/>
            <w:gridSpan w:val="6"/>
          </w:tcPr>
          <w:p w:rsidR="00A70F12" w:rsidRPr="00741A24" w:rsidRDefault="00A70F12" w:rsidP="001E10FD">
            <w:pPr>
              <w:autoSpaceDE w:val="0"/>
              <w:autoSpaceDN w:val="0"/>
              <w:adjustRightInd w:val="0"/>
            </w:pPr>
          </w:p>
        </w:tc>
        <w:tc>
          <w:tcPr>
            <w:tcW w:w="601" w:type="dxa"/>
          </w:tcPr>
          <w:p w:rsidR="00A70F12" w:rsidRPr="00741A24" w:rsidRDefault="00A70F12" w:rsidP="001E10FD">
            <w:pPr>
              <w:autoSpaceDE w:val="0"/>
              <w:autoSpaceDN w:val="0"/>
              <w:adjustRightInd w:val="0"/>
            </w:pPr>
            <w:r w:rsidRPr="00741A24">
              <w:t>ii)</w:t>
            </w:r>
          </w:p>
        </w:tc>
        <w:tc>
          <w:tcPr>
            <w:tcW w:w="3162" w:type="dxa"/>
          </w:tcPr>
          <w:p w:rsidR="00A70F12" w:rsidRPr="00741A24" w:rsidRDefault="00A70F12" w:rsidP="001E10FD">
            <w:pPr>
              <w:autoSpaceDE w:val="0"/>
              <w:autoSpaceDN w:val="0"/>
              <w:adjustRightInd w:val="0"/>
            </w:pPr>
            <w:r w:rsidRPr="00741A24">
              <w:t>Non</w:t>
            </w:r>
            <w:r w:rsidR="0061548C">
              <w:t>-</w:t>
            </w:r>
            <w:r w:rsidRPr="00741A24">
              <w:t>atomized</w:t>
            </w:r>
          </w:p>
        </w:tc>
        <w:tc>
          <w:tcPr>
            <w:tcW w:w="2294" w:type="dxa"/>
            <w:gridSpan w:val="4"/>
            <w:vAlign w:val="center"/>
          </w:tcPr>
          <w:p w:rsidR="00A70F12" w:rsidRPr="00741A24" w:rsidRDefault="00A70F12" w:rsidP="00A70F12">
            <w:pPr>
              <w:autoSpaceDE w:val="0"/>
              <w:autoSpaceDN w:val="0"/>
              <w:adjustRightInd w:val="0"/>
              <w:jc w:val="center"/>
            </w:pPr>
            <w:r w:rsidRPr="00741A24">
              <w:t>35</w:t>
            </w:r>
          </w:p>
        </w:tc>
      </w:tr>
      <w:tr w:rsidR="00A70F12" w:rsidRPr="00741A24" w:rsidTr="00285B27">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c>
          <w:tcPr>
            <w:tcW w:w="1595" w:type="dxa"/>
            <w:gridSpan w:val="6"/>
          </w:tcPr>
          <w:p w:rsidR="00A70F12" w:rsidRPr="00741A24" w:rsidRDefault="00A70F12" w:rsidP="001E10FD">
            <w:pPr>
              <w:autoSpaceDE w:val="0"/>
              <w:autoSpaceDN w:val="0"/>
              <w:adjustRightInd w:val="0"/>
            </w:pPr>
          </w:p>
        </w:tc>
        <w:tc>
          <w:tcPr>
            <w:tcW w:w="601" w:type="dxa"/>
          </w:tcPr>
          <w:p w:rsidR="00A70F12" w:rsidRPr="00741A24" w:rsidRDefault="00A70F12" w:rsidP="001E10FD">
            <w:pPr>
              <w:autoSpaceDE w:val="0"/>
              <w:autoSpaceDN w:val="0"/>
              <w:adjustRightInd w:val="0"/>
            </w:pPr>
          </w:p>
        </w:tc>
        <w:tc>
          <w:tcPr>
            <w:tcW w:w="3162" w:type="dxa"/>
          </w:tcPr>
          <w:p w:rsidR="00A70F12" w:rsidRPr="00741A24" w:rsidRDefault="00A70F12" w:rsidP="001E10FD">
            <w:pPr>
              <w:autoSpaceDE w:val="0"/>
              <w:autoSpaceDN w:val="0"/>
              <w:adjustRightInd w:val="0"/>
            </w:pPr>
          </w:p>
        </w:tc>
        <w:tc>
          <w:tcPr>
            <w:tcW w:w="1380" w:type="dxa"/>
            <w:gridSpan w:val="3"/>
            <w:vAlign w:val="center"/>
          </w:tcPr>
          <w:p w:rsidR="00A70F12" w:rsidRPr="00741A24" w:rsidRDefault="00A70F12" w:rsidP="00A70F12">
            <w:pPr>
              <w:tabs>
                <w:tab w:val="decimal" w:pos="-6795"/>
                <w:tab w:val="decimal" w:pos="627"/>
              </w:tabs>
              <w:autoSpaceDE w:val="0"/>
              <w:autoSpaceDN w:val="0"/>
              <w:adjustRightInd w:val="0"/>
              <w:jc w:val="center"/>
            </w:pPr>
          </w:p>
        </w:tc>
        <w:tc>
          <w:tcPr>
            <w:tcW w:w="914" w:type="dxa"/>
            <w:vAlign w:val="center"/>
          </w:tcPr>
          <w:p w:rsidR="00A70F12" w:rsidRPr="00741A24" w:rsidRDefault="00A70F12" w:rsidP="00A70F12">
            <w:pPr>
              <w:autoSpaceDE w:val="0"/>
              <w:autoSpaceDN w:val="0"/>
              <w:adjustRightInd w:val="0"/>
              <w:jc w:val="center"/>
            </w:pPr>
          </w:p>
        </w:tc>
      </w:tr>
      <w:tr w:rsidR="00A70F12" w:rsidRPr="00741A24" w:rsidTr="005F1AA8">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c>
          <w:tcPr>
            <w:tcW w:w="817" w:type="dxa"/>
            <w:gridSpan w:val="3"/>
          </w:tcPr>
          <w:p w:rsidR="00A70F12" w:rsidRPr="00741A24" w:rsidRDefault="00A70F12" w:rsidP="001E10FD">
            <w:pPr>
              <w:autoSpaceDE w:val="0"/>
              <w:autoSpaceDN w:val="0"/>
              <w:adjustRightInd w:val="0"/>
            </w:pPr>
          </w:p>
        </w:tc>
        <w:tc>
          <w:tcPr>
            <w:tcW w:w="778" w:type="dxa"/>
            <w:gridSpan w:val="3"/>
          </w:tcPr>
          <w:p w:rsidR="00A70F12" w:rsidRPr="00741A24" w:rsidRDefault="00A70F12" w:rsidP="001E10FD">
            <w:pPr>
              <w:autoSpaceDE w:val="0"/>
              <w:autoSpaceDN w:val="0"/>
              <w:adjustRightInd w:val="0"/>
            </w:pPr>
            <w:r w:rsidRPr="00741A24">
              <w:t>B)</w:t>
            </w:r>
          </w:p>
        </w:tc>
        <w:tc>
          <w:tcPr>
            <w:tcW w:w="3763" w:type="dxa"/>
            <w:gridSpan w:val="2"/>
          </w:tcPr>
          <w:p w:rsidR="00A70F12" w:rsidRPr="00741A24" w:rsidRDefault="00A70F12" w:rsidP="001E10FD">
            <w:pPr>
              <w:autoSpaceDE w:val="0"/>
              <w:autoSpaceDN w:val="0"/>
              <w:adjustRightInd w:val="0"/>
            </w:pPr>
            <w:r w:rsidRPr="00741A24">
              <w:t>Pigmented gel coat</w:t>
            </w:r>
          </w:p>
        </w:tc>
        <w:tc>
          <w:tcPr>
            <w:tcW w:w="2294" w:type="dxa"/>
            <w:gridSpan w:val="4"/>
          </w:tcPr>
          <w:p w:rsidR="00A70F12" w:rsidRPr="00741A24" w:rsidRDefault="00A70F12" w:rsidP="00A70F12">
            <w:pPr>
              <w:autoSpaceDE w:val="0"/>
              <w:autoSpaceDN w:val="0"/>
              <w:adjustRightInd w:val="0"/>
              <w:jc w:val="center"/>
            </w:pPr>
            <w:r w:rsidRPr="00741A24">
              <w:t>33</w:t>
            </w:r>
          </w:p>
        </w:tc>
      </w:tr>
      <w:tr w:rsidR="00A70F12" w:rsidRPr="00741A24" w:rsidTr="005F1AA8">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c>
          <w:tcPr>
            <w:tcW w:w="817" w:type="dxa"/>
            <w:gridSpan w:val="3"/>
          </w:tcPr>
          <w:p w:rsidR="00A70F12" w:rsidRPr="00741A24" w:rsidRDefault="00A70F12" w:rsidP="001E10FD">
            <w:pPr>
              <w:autoSpaceDE w:val="0"/>
              <w:autoSpaceDN w:val="0"/>
              <w:adjustRightInd w:val="0"/>
            </w:pPr>
          </w:p>
        </w:tc>
        <w:tc>
          <w:tcPr>
            <w:tcW w:w="778" w:type="dxa"/>
            <w:gridSpan w:val="3"/>
          </w:tcPr>
          <w:p w:rsidR="00A70F12" w:rsidRPr="00741A24" w:rsidRDefault="00A70F12" w:rsidP="001E10FD">
            <w:pPr>
              <w:autoSpaceDE w:val="0"/>
              <w:autoSpaceDN w:val="0"/>
              <w:adjustRightInd w:val="0"/>
            </w:pPr>
          </w:p>
        </w:tc>
        <w:tc>
          <w:tcPr>
            <w:tcW w:w="3763" w:type="dxa"/>
            <w:gridSpan w:val="2"/>
          </w:tcPr>
          <w:p w:rsidR="00A70F12" w:rsidRPr="00741A24" w:rsidRDefault="00A70F12" w:rsidP="001E10FD">
            <w:pPr>
              <w:autoSpaceDE w:val="0"/>
              <w:autoSpaceDN w:val="0"/>
              <w:adjustRightInd w:val="0"/>
            </w:pPr>
          </w:p>
        </w:tc>
        <w:tc>
          <w:tcPr>
            <w:tcW w:w="2294" w:type="dxa"/>
            <w:gridSpan w:val="4"/>
          </w:tcPr>
          <w:p w:rsidR="00A70F12" w:rsidRPr="00741A24" w:rsidRDefault="00A70F12" w:rsidP="00A70F12">
            <w:pPr>
              <w:autoSpaceDE w:val="0"/>
              <w:autoSpaceDN w:val="0"/>
              <w:adjustRightInd w:val="0"/>
              <w:jc w:val="center"/>
            </w:pPr>
          </w:p>
        </w:tc>
      </w:tr>
      <w:tr w:rsidR="00A70F12" w:rsidRPr="00741A24" w:rsidTr="005F1AA8">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c>
          <w:tcPr>
            <w:tcW w:w="817" w:type="dxa"/>
            <w:gridSpan w:val="3"/>
          </w:tcPr>
          <w:p w:rsidR="00A70F12" w:rsidRPr="00741A24" w:rsidRDefault="00A70F12" w:rsidP="001E10FD">
            <w:pPr>
              <w:autoSpaceDE w:val="0"/>
              <w:autoSpaceDN w:val="0"/>
              <w:adjustRightInd w:val="0"/>
            </w:pPr>
          </w:p>
        </w:tc>
        <w:tc>
          <w:tcPr>
            <w:tcW w:w="778" w:type="dxa"/>
            <w:gridSpan w:val="3"/>
          </w:tcPr>
          <w:p w:rsidR="00A70F12" w:rsidRPr="00741A24" w:rsidRDefault="00A70F12" w:rsidP="001E10FD">
            <w:pPr>
              <w:autoSpaceDE w:val="0"/>
              <w:autoSpaceDN w:val="0"/>
              <w:adjustRightInd w:val="0"/>
            </w:pPr>
            <w:r w:rsidRPr="00741A24">
              <w:t>C)</w:t>
            </w:r>
          </w:p>
        </w:tc>
        <w:tc>
          <w:tcPr>
            <w:tcW w:w="3763" w:type="dxa"/>
            <w:gridSpan w:val="2"/>
          </w:tcPr>
          <w:p w:rsidR="00A70F12" w:rsidRPr="00741A24" w:rsidRDefault="00A70F12" w:rsidP="001E10FD">
            <w:pPr>
              <w:autoSpaceDE w:val="0"/>
              <w:autoSpaceDN w:val="0"/>
              <w:adjustRightInd w:val="0"/>
            </w:pPr>
            <w:r w:rsidRPr="00741A24">
              <w:t>Clear gel coat</w:t>
            </w:r>
          </w:p>
        </w:tc>
        <w:tc>
          <w:tcPr>
            <w:tcW w:w="2294" w:type="dxa"/>
            <w:gridSpan w:val="4"/>
          </w:tcPr>
          <w:p w:rsidR="00A70F12" w:rsidRPr="00741A24" w:rsidRDefault="00A70F12" w:rsidP="00A70F12">
            <w:pPr>
              <w:autoSpaceDE w:val="0"/>
              <w:autoSpaceDN w:val="0"/>
              <w:adjustRightInd w:val="0"/>
              <w:jc w:val="center"/>
            </w:pPr>
            <w:r w:rsidRPr="00741A24">
              <w:t>48</w:t>
            </w:r>
          </w:p>
        </w:tc>
      </w:tr>
      <w:tr w:rsidR="00A70F12" w:rsidRPr="00741A24" w:rsidTr="005F1AA8">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c>
          <w:tcPr>
            <w:tcW w:w="817" w:type="dxa"/>
            <w:gridSpan w:val="3"/>
          </w:tcPr>
          <w:p w:rsidR="00A70F12" w:rsidRPr="00741A24" w:rsidRDefault="00A70F12" w:rsidP="001E10FD">
            <w:pPr>
              <w:autoSpaceDE w:val="0"/>
              <w:autoSpaceDN w:val="0"/>
              <w:adjustRightInd w:val="0"/>
            </w:pPr>
          </w:p>
        </w:tc>
        <w:tc>
          <w:tcPr>
            <w:tcW w:w="778" w:type="dxa"/>
            <w:gridSpan w:val="3"/>
          </w:tcPr>
          <w:p w:rsidR="00A70F12" w:rsidRPr="00741A24" w:rsidRDefault="00A70F12" w:rsidP="001E10FD">
            <w:pPr>
              <w:autoSpaceDE w:val="0"/>
              <w:autoSpaceDN w:val="0"/>
              <w:adjustRightInd w:val="0"/>
            </w:pPr>
          </w:p>
        </w:tc>
        <w:tc>
          <w:tcPr>
            <w:tcW w:w="3763" w:type="dxa"/>
            <w:gridSpan w:val="2"/>
          </w:tcPr>
          <w:p w:rsidR="00A70F12" w:rsidRPr="00741A24" w:rsidRDefault="00A70F12" w:rsidP="001E10FD">
            <w:pPr>
              <w:autoSpaceDE w:val="0"/>
              <w:autoSpaceDN w:val="0"/>
              <w:adjustRightInd w:val="0"/>
            </w:pPr>
          </w:p>
        </w:tc>
        <w:tc>
          <w:tcPr>
            <w:tcW w:w="2294" w:type="dxa"/>
            <w:gridSpan w:val="4"/>
          </w:tcPr>
          <w:p w:rsidR="00A70F12" w:rsidRPr="00741A24" w:rsidRDefault="00A70F12" w:rsidP="00A70F12">
            <w:pPr>
              <w:autoSpaceDE w:val="0"/>
              <w:autoSpaceDN w:val="0"/>
              <w:adjustRightInd w:val="0"/>
              <w:jc w:val="center"/>
            </w:pPr>
          </w:p>
        </w:tc>
      </w:tr>
      <w:tr w:rsidR="00A70F12" w:rsidRPr="00741A24" w:rsidTr="005F1AA8">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c>
          <w:tcPr>
            <w:tcW w:w="817" w:type="dxa"/>
            <w:gridSpan w:val="3"/>
          </w:tcPr>
          <w:p w:rsidR="00A70F12" w:rsidRPr="00741A24" w:rsidRDefault="00A70F12" w:rsidP="001E10FD">
            <w:pPr>
              <w:autoSpaceDE w:val="0"/>
              <w:autoSpaceDN w:val="0"/>
              <w:adjustRightInd w:val="0"/>
            </w:pPr>
          </w:p>
        </w:tc>
        <w:tc>
          <w:tcPr>
            <w:tcW w:w="778" w:type="dxa"/>
            <w:gridSpan w:val="3"/>
          </w:tcPr>
          <w:p w:rsidR="00A70F12" w:rsidRPr="00741A24" w:rsidRDefault="00A70F12" w:rsidP="001E10FD">
            <w:pPr>
              <w:autoSpaceDE w:val="0"/>
              <w:autoSpaceDN w:val="0"/>
              <w:adjustRightInd w:val="0"/>
            </w:pPr>
            <w:r w:rsidRPr="00741A24">
              <w:t>D)</w:t>
            </w:r>
          </w:p>
        </w:tc>
        <w:tc>
          <w:tcPr>
            <w:tcW w:w="3763" w:type="dxa"/>
            <w:gridSpan w:val="2"/>
          </w:tcPr>
          <w:p w:rsidR="00A70F12" w:rsidRPr="00741A24" w:rsidRDefault="00A70F12" w:rsidP="001E10FD">
            <w:pPr>
              <w:autoSpaceDE w:val="0"/>
              <w:autoSpaceDN w:val="0"/>
              <w:adjustRightInd w:val="0"/>
            </w:pPr>
            <w:r w:rsidRPr="00741A24">
              <w:t>Tooling resin</w:t>
            </w:r>
          </w:p>
        </w:tc>
        <w:tc>
          <w:tcPr>
            <w:tcW w:w="2294" w:type="dxa"/>
            <w:gridSpan w:val="4"/>
          </w:tcPr>
          <w:p w:rsidR="00A70F12" w:rsidRPr="00741A24" w:rsidRDefault="00A70F12" w:rsidP="00A70F12">
            <w:pPr>
              <w:autoSpaceDE w:val="0"/>
              <w:autoSpaceDN w:val="0"/>
              <w:adjustRightInd w:val="0"/>
              <w:jc w:val="center"/>
            </w:pPr>
          </w:p>
        </w:tc>
      </w:tr>
      <w:tr w:rsidR="00A70F12" w:rsidRPr="00741A24" w:rsidTr="00285B27">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c>
          <w:tcPr>
            <w:tcW w:w="1595" w:type="dxa"/>
            <w:gridSpan w:val="6"/>
          </w:tcPr>
          <w:p w:rsidR="00A70F12" w:rsidRPr="00741A24" w:rsidRDefault="00A70F12" w:rsidP="001E10FD">
            <w:pPr>
              <w:autoSpaceDE w:val="0"/>
              <w:autoSpaceDN w:val="0"/>
              <w:adjustRightInd w:val="0"/>
            </w:pPr>
          </w:p>
        </w:tc>
        <w:tc>
          <w:tcPr>
            <w:tcW w:w="601" w:type="dxa"/>
          </w:tcPr>
          <w:p w:rsidR="00A70F12" w:rsidRPr="00741A24" w:rsidRDefault="00A70F12" w:rsidP="001E10FD">
            <w:pPr>
              <w:autoSpaceDE w:val="0"/>
              <w:autoSpaceDN w:val="0"/>
              <w:adjustRightInd w:val="0"/>
            </w:pPr>
          </w:p>
        </w:tc>
        <w:tc>
          <w:tcPr>
            <w:tcW w:w="3162" w:type="dxa"/>
          </w:tcPr>
          <w:p w:rsidR="00A70F12" w:rsidRPr="00741A24" w:rsidRDefault="00A70F12" w:rsidP="001E10FD">
            <w:pPr>
              <w:autoSpaceDE w:val="0"/>
              <w:autoSpaceDN w:val="0"/>
              <w:adjustRightInd w:val="0"/>
            </w:pPr>
          </w:p>
        </w:tc>
        <w:tc>
          <w:tcPr>
            <w:tcW w:w="1380" w:type="dxa"/>
            <w:gridSpan w:val="3"/>
          </w:tcPr>
          <w:p w:rsidR="00A70F12" w:rsidRPr="00741A24" w:rsidRDefault="00A70F12" w:rsidP="00A70F12">
            <w:pPr>
              <w:tabs>
                <w:tab w:val="decimal" w:pos="-6795"/>
                <w:tab w:val="decimal" w:pos="627"/>
              </w:tabs>
              <w:autoSpaceDE w:val="0"/>
              <w:autoSpaceDN w:val="0"/>
              <w:adjustRightInd w:val="0"/>
              <w:jc w:val="center"/>
            </w:pPr>
          </w:p>
        </w:tc>
        <w:tc>
          <w:tcPr>
            <w:tcW w:w="914" w:type="dxa"/>
          </w:tcPr>
          <w:p w:rsidR="00A70F12" w:rsidRPr="00741A24" w:rsidRDefault="00A70F12" w:rsidP="00A70F12">
            <w:pPr>
              <w:autoSpaceDE w:val="0"/>
              <w:autoSpaceDN w:val="0"/>
              <w:adjustRightInd w:val="0"/>
              <w:jc w:val="center"/>
            </w:pPr>
          </w:p>
        </w:tc>
      </w:tr>
      <w:tr w:rsidR="00A70F12" w:rsidRPr="00741A24" w:rsidTr="00285B27">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c>
          <w:tcPr>
            <w:tcW w:w="1595" w:type="dxa"/>
            <w:gridSpan w:val="6"/>
          </w:tcPr>
          <w:p w:rsidR="00A70F12" w:rsidRPr="00741A24" w:rsidRDefault="00A70F12" w:rsidP="001E10FD">
            <w:pPr>
              <w:autoSpaceDE w:val="0"/>
              <w:autoSpaceDN w:val="0"/>
              <w:adjustRightInd w:val="0"/>
            </w:pPr>
          </w:p>
        </w:tc>
        <w:tc>
          <w:tcPr>
            <w:tcW w:w="601" w:type="dxa"/>
          </w:tcPr>
          <w:p w:rsidR="00A70F12" w:rsidRPr="00741A24" w:rsidRDefault="00A70F12" w:rsidP="001E10FD">
            <w:pPr>
              <w:autoSpaceDE w:val="0"/>
              <w:autoSpaceDN w:val="0"/>
              <w:adjustRightInd w:val="0"/>
            </w:pPr>
            <w:r w:rsidRPr="00741A24">
              <w:t>i)</w:t>
            </w:r>
          </w:p>
        </w:tc>
        <w:tc>
          <w:tcPr>
            <w:tcW w:w="3162" w:type="dxa"/>
          </w:tcPr>
          <w:p w:rsidR="00A70F12" w:rsidRPr="00741A24" w:rsidRDefault="00A70F12" w:rsidP="001E10FD">
            <w:pPr>
              <w:autoSpaceDE w:val="0"/>
              <w:autoSpaceDN w:val="0"/>
              <w:adjustRightInd w:val="0"/>
            </w:pPr>
            <w:r w:rsidRPr="00741A24">
              <w:t>Atomized</w:t>
            </w:r>
          </w:p>
        </w:tc>
        <w:tc>
          <w:tcPr>
            <w:tcW w:w="2294" w:type="dxa"/>
            <w:gridSpan w:val="4"/>
          </w:tcPr>
          <w:p w:rsidR="00A70F12" w:rsidRPr="00741A24" w:rsidRDefault="00A70F12" w:rsidP="00A70F12">
            <w:pPr>
              <w:autoSpaceDE w:val="0"/>
              <w:autoSpaceDN w:val="0"/>
              <w:adjustRightInd w:val="0"/>
              <w:jc w:val="center"/>
            </w:pPr>
            <w:r w:rsidRPr="00741A24">
              <w:t>30</w:t>
            </w:r>
          </w:p>
        </w:tc>
      </w:tr>
      <w:tr w:rsidR="00A70F12" w:rsidRPr="00741A24" w:rsidTr="00285B27">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c>
          <w:tcPr>
            <w:tcW w:w="1595" w:type="dxa"/>
            <w:gridSpan w:val="6"/>
          </w:tcPr>
          <w:p w:rsidR="00A70F12" w:rsidRPr="00741A24" w:rsidRDefault="00A70F12" w:rsidP="001E10FD">
            <w:pPr>
              <w:autoSpaceDE w:val="0"/>
              <w:autoSpaceDN w:val="0"/>
              <w:adjustRightInd w:val="0"/>
            </w:pPr>
          </w:p>
        </w:tc>
        <w:tc>
          <w:tcPr>
            <w:tcW w:w="601" w:type="dxa"/>
          </w:tcPr>
          <w:p w:rsidR="00A70F12" w:rsidRPr="00741A24" w:rsidRDefault="00A70F12" w:rsidP="001E10FD">
            <w:pPr>
              <w:autoSpaceDE w:val="0"/>
              <w:autoSpaceDN w:val="0"/>
              <w:adjustRightInd w:val="0"/>
            </w:pPr>
          </w:p>
        </w:tc>
        <w:tc>
          <w:tcPr>
            <w:tcW w:w="3162" w:type="dxa"/>
          </w:tcPr>
          <w:p w:rsidR="00A70F12" w:rsidRPr="00741A24" w:rsidRDefault="00A70F12" w:rsidP="001E10FD">
            <w:pPr>
              <w:autoSpaceDE w:val="0"/>
              <w:autoSpaceDN w:val="0"/>
              <w:adjustRightInd w:val="0"/>
            </w:pPr>
          </w:p>
        </w:tc>
        <w:tc>
          <w:tcPr>
            <w:tcW w:w="1380" w:type="dxa"/>
            <w:gridSpan w:val="3"/>
          </w:tcPr>
          <w:p w:rsidR="00A70F12" w:rsidRPr="00741A24" w:rsidRDefault="00A70F12" w:rsidP="00A70F12">
            <w:pPr>
              <w:tabs>
                <w:tab w:val="decimal" w:pos="-6795"/>
                <w:tab w:val="decimal" w:pos="627"/>
              </w:tabs>
              <w:autoSpaceDE w:val="0"/>
              <w:autoSpaceDN w:val="0"/>
              <w:adjustRightInd w:val="0"/>
              <w:jc w:val="center"/>
            </w:pPr>
          </w:p>
        </w:tc>
        <w:tc>
          <w:tcPr>
            <w:tcW w:w="914" w:type="dxa"/>
          </w:tcPr>
          <w:p w:rsidR="00A70F12" w:rsidRPr="00741A24" w:rsidRDefault="00A70F12" w:rsidP="00A70F12">
            <w:pPr>
              <w:autoSpaceDE w:val="0"/>
              <w:autoSpaceDN w:val="0"/>
              <w:adjustRightInd w:val="0"/>
              <w:jc w:val="center"/>
            </w:pPr>
          </w:p>
        </w:tc>
      </w:tr>
      <w:tr w:rsidR="00A70F12" w:rsidRPr="00741A24" w:rsidTr="00285B27">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c>
          <w:tcPr>
            <w:tcW w:w="1595" w:type="dxa"/>
            <w:gridSpan w:val="6"/>
          </w:tcPr>
          <w:p w:rsidR="00A70F12" w:rsidRPr="00741A24" w:rsidRDefault="00A70F12" w:rsidP="001E10FD">
            <w:pPr>
              <w:autoSpaceDE w:val="0"/>
              <w:autoSpaceDN w:val="0"/>
              <w:adjustRightInd w:val="0"/>
            </w:pPr>
          </w:p>
        </w:tc>
        <w:tc>
          <w:tcPr>
            <w:tcW w:w="601" w:type="dxa"/>
          </w:tcPr>
          <w:p w:rsidR="00A70F12" w:rsidRPr="00741A24" w:rsidRDefault="00A70F12" w:rsidP="001E10FD">
            <w:pPr>
              <w:autoSpaceDE w:val="0"/>
              <w:autoSpaceDN w:val="0"/>
              <w:adjustRightInd w:val="0"/>
            </w:pPr>
            <w:r w:rsidRPr="00741A24">
              <w:t>ii)</w:t>
            </w:r>
          </w:p>
        </w:tc>
        <w:tc>
          <w:tcPr>
            <w:tcW w:w="3162" w:type="dxa"/>
          </w:tcPr>
          <w:p w:rsidR="00A70F12" w:rsidRPr="00741A24" w:rsidRDefault="00A70F12" w:rsidP="001E10FD">
            <w:pPr>
              <w:autoSpaceDE w:val="0"/>
              <w:autoSpaceDN w:val="0"/>
              <w:adjustRightInd w:val="0"/>
            </w:pPr>
            <w:r w:rsidRPr="00741A24">
              <w:t>Non</w:t>
            </w:r>
            <w:r w:rsidR="0061548C">
              <w:t>-</w:t>
            </w:r>
            <w:r w:rsidRPr="00741A24">
              <w:t>atomized</w:t>
            </w:r>
          </w:p>
        </w:tc>
        <w:tc>
          <w:tcPr>
            <w:tcW w:w="2294" w:type="dxa"/>
            <w:gridSpan w:val="4"/>
          </w:tcPr>
          <w:p w:rsidR="00A70F12" w:rsidRPr="00741A24" w:rsidRDefault="00A70F12" w:rsidP="00A70F12">
            <w:pPr>
              <w:autoSpaceDE w:val="0"/>
              <w:autoSpaceDN w:val="0"/>
              <w:adjustRightInd w:val="0"/>
              <w:jc w:val="center"/>
            </w:pPr>
            <w:r w:rsidRPr="00741A24">
              <w:t>39</w:t>
            </w:r>
          </w:p>
        </w:tc>
      </w:tr>
      <w:tr w:rsidR="00A70F12" w:rsidRPr="00741A24" w:rsidTr="00285B27">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c>
          <w:tcPr>
            <w:tcW w:w="1595" w:type="dxa"/>
            <w:gridSpan w:val="6"/>
          </w:tcPr>
          <w:p w:rsidR="00A70F12" w:rsidRPr="00741A24" w:rsidRDefault="00A70F12" w:rsidP="001E10FD">
            <w:pPr>
              <w:autoSpaceDE w:val="0"/>
              <w:autoSpaceDN w:val="0"/>
              <w:adjustRightInd w:val="0"/>
            </w:pPr>
          </w:p>
        </w:tc>
        <w:tc>
          <w:tcPr>
            <w:tcW w:w="601" w:type="dxa"/>
          </w:tcPr>
          <w:p w:rsidR="00A70F12" w:rsidRPr="00741A24" w:rsidRDefault="00A70F12" w:rsidP="001E10FD">
            <w:pPr>
              <w:autoSpaceDE w:val="0"/>
              <w:autoSpaceDN w:val="0"/>
              <w:adjustRightInd w:val="0"/>
            </w:pPr>
          </w:p>
        </w:tc>
        <w:tc>
          <w:tcPr>
            <w:tcW w:w="3162" w:type="dxa"/>
          </w:tcPr>
          <w:p w:rsidR="00A70F12" w:rsidRPr="00741A24" w:rsidRDefault="00A70F12" w:rsidP="001E10FD">
            <w:pPr>
              <w:autoSpaceDE w:val="0"/>
              <w:autoSpaceDN w:val="0"/>
              <w:adjustRightInd w:val="0"/>
            </w:pPr>
          </w:p>
        </w:tc>
        <w:tc>
          <w:tcPr>
            <w:tcW w:w="2294" w:type="dxa"/>
            <w:gridSpan w:val="4"/>
          </w:tcPr>
          <w:p w:rsidR="00A70F12" w:rsidRPr="00741A24" w:rsidRDefault="00A70F12" w:rsidP="00A70F12">
            <w:pPr>
              <w:autoSpaceDE w:val="0"/>
              <w:autoSpaceDN w:val="0"/>
              <w:adjustRightInd w:val="0"/>
              <w:jc w:val="center"/>
            </w:pPr>
          </w:p>
        </w:tc>
      </w:tr>
      <w:tr w:rsidR="00A70F12" w:rsidRPr="00741A24" w:rsidTr="005F1AA8">
        <w:tblPrEx>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c>
          <w:tcPr>
            <w:tcW w:w="828" w:type="dxa"/>
            <w:gridSpan w:val="4"/>
          </w:tcPr>
          <w:p w:rsidR="00A70F12" w:rsidRPr="00741A24" w:rsidRDefault="00A70F12" w:rsidP="001E10FD">
            <w:pPr>
              <w:autoSpaceDE w:val="0"/>
              <w:autoSpaceDN w:val="0"/>
              <w:adjustRightInd w:val="0"/>
            </w:pPr>
          </w:p>
        </w:tc>
        <w:tc>
          <w:tcPr>
            <w:tcW w:w="767" w:type="dxa"/>
            <w:gridSpan w:val="2"/>
          </w:tcPr>
          <w:p w:rsidR="00A70F12" w:rsidRPr="00741A24" w:rsidRDefault="00A70F12" w:rsidP="001E10FD">
            <w:pPr>
              <w:autoSpaceDE w:val="0"/>
              <w:autoSpaceDN w:val="0"/>
              <w:adjustRightInd w:val="0"/>
            </w:pPr>
            <w:r w:rsidRPr="00741A24">
              <w:t>E)</w:t>
            </w:r>
          </w:p>
        </w:tc>
        <w:tc>
          <w:tcPr>
            <w:tcW w:w="3763" w:type="dxa"/>
            <w:gridSpan w:val="2"/>
          </w:tcPr>
          <w:p w:rsidR="00A70F12" w:rsidRPr="00741A24" w:rsidRDefault="00A70F12" w:rsidP="001E10FD">
            <w:pPr>
              <w:autoSpaceDE w:val="0"/>
              <w:autoSpaceDN w:val="0"/>
              <w:adjustRightInd w:val="0"/>
            </w:pPr>
            <w:r w:rsidRPr="00741A24">
              <w:t>Tooling gel coat</w:t>
            </w:r>
          </w:p>
        </w:tc>
        <w:tc>
          <w:tcPr>
            <w:tcW w:w="2294" w:type="dxa"/>
            <w:gridSpan w:val="4"/>
          </w:tcPr>
          <w:p w:rsidR="00A70F12" w:rsidRPr="00741A24" w:rsidRDefault="00A70F12" w:rsidP="00A70F12">
            <w:pPr>
              <w:autoSpaceDE w:val="0"/>
              <w:autoSpaceDN w:val="0"/>
              <w:adjustRightInd w:val="0"/>
              <w:jc w:val="center"/>
            </w:pPr>
            <w:r w:rsidRPr="00741A24">
              <w:t>40</w:t>
            </w:r>
          </w:p>
        </w:tc>
      </w:tr>
    </w:tbl>
    <w:p w:rsidR="001B5F3E" w:rsidRPr="00741A24" w:rsidRDefault="001B5F3E" w:rsidP="00847EEA">
      <w:pPr>
        <w:tabs>
          <w:tab w:val="left" w:pos="720"/>
          <w:tab w:val="left" w:pos="1440"/>
        </w:tabs>
        <w:ind w:left="1440" w:hanging="1440"/>
      </w:pPr>
    </w:p>
    <w:p w:rsidR="00847EEA" w:rsidRPr="00741A24" w:rsidRDefault="00847EEA" w:rsidP="00847EEA">
      <w:pPr>
        <w:ind w:left="2160" w:hanging="720"/>
      </w:pPr>
      <w:r w:rsidRPr="00741A24">
        <w:t>2)</w:t>
      </w:r>
      <w:r w:rsidRPr="00741A24">
        <w:tab/>
        <w:t xml:space="preserve">Except as provided in subsection (e) of this Section, the weighted average </w:t>
      </w:r>
      <w:r w:rsidRPr="00741A24">
        <w:lastRenderedPageBreak/>
        <w:t>monomer VOM content of a subject resin or gel coat shall not exceed the applicable limitation set forth in subsection (b)(1) of this Section on a 12-month rolling average basis. Equation 1 shall be used to determine the weighted average monomer VOM content for resin and gel coat materials.</w:t>
      </w:r>
    </w:p>
    <w:p w:rsidR="00847EEA" w:rsidRPr="00741A24" w:rsidRDefault="00847EEA" w:rsidP="00847EEA">
      <w:pPr>
        <w:ind w:left="2160" w:hanging="720"/>
      </w:pPr>
    </w:p>
    <w:p w:rsidR="00847EEA" w:rsidRPr="00741A24" w:rsidRDefault="00847EEA" w:rsidP="00847EEA">
      <w:pPr>
        <w:ind w:left="2160"/>
      </w:pPr>
      <w:r w:rsidRPr="00741A24">
        <w:t>Equation 1:</w:t>
      </w:r>
    </w:p>
    <w:p w:rsidR="005A32BF" w:rsidRPr="00741A24" w:rsidRDefault="005A32BF" w:rsidP="00847EEA">
      <w:pPr>
        <w:ind w:left="2160"/>
      </w:pPr>
    </w:p>
    <w:tbl>
      <w:tblPr>
        <w:tblW w:w="0" w:type="auto"/>
        <w:tblInd w:w="3366" w:type="dxa"/>
        <w:tblLayout w:type="fixed"/>
        <w:tblLook w:val="0000" w:firstRow="0" w:lastRow="0" w:firstColumn="0" w:lastColumn="0" w:noHBand="0" w:noVBand="0"/>
      </w:tblPr>
      <w:tblGrid>
        <w:gridCol w:w="2057"/>
        <w:gridCol w:w="236"/>
        <w:gridCol w:w="2382"/>
      </w:tblGrid>
      <w:tr w:rsidR="0061548C" w:rsidTr="00881866">
        <w:tblPrEx>
          <w:tblCellMar>
            <w:top w:w="0" w:type="dxa"/>
            <w:bottom w:w="0" w:type="dxa"/>
          </w:tblCellMar>
        </w:tblPrEx>
        <w:tc>
          <w:tcPr>
            <w:tcW w:w="2057" w:type="dxa"/>
            <w:vAlign w:val="center"/>
          </w:tcPr>
          <w:p w:rsidR="0061548C" w:rsidRDefault="0061548C" w:rsidP="002607D4">
            <w:pPr>
              <w:jc w:val="center"/>
            </w:pPr>
            <w:r>
              <w:t>Weighted Average</w:t>
            </w:r>
          </w:p>
          <w:p w:rsidR="0061548C" w:rsidRDefault="0061548C" w:rsidP="002607D4">
            <w:pPr>
              <w:jc w:val="center"/>
            </w:pPr>
            <w:r>
              <w:t>Monomer VOM</w:t>
            </w:r>
          </w:p>
          <w:p w:rsidR="0061548C" w:rsidRDefault="0061548C" w:rsidP="002607D4">
            <w:pPr>
              <w:jc w:val="center"/>
            </w:pPr>
            <w:r>
              <w:t>Content</w:t>
            </w:r>
          </w:p>
        </w:tc>
        <w:tc>
          <w:tcPr>
            <w:tcW w:w="236" w:type="dxa"/>
            <w:vAlign w:val="center"/>
          </w:tcPr>
          <w:p w:rsidR="0061548C" w:rsidRDefault="0061548C" w:rsidP="00881866">
            <w:pPr>
              <w:ind w:left="-108" w:right="-59"/>
            </w:pPr>
            <w:r>
              <w:t>=</w:t>
            </w:r>
          </w:p>
        </w:tc>
        <w:tc>
          <w:tcPr>
            <w:tcW w:w="2382" w:type="dxa"/>
          </w:tcPr>
          <w:p w:rsidR="0061548C" w:rsidRDefault="0061548C" w:rsidP="00881866">
            <w:r w:rsidRPr="00CB12B1">
              <w:rPr>
                <w:position w:val="-60"/>
              </w:rPr>
              <w:object w:dxaOrig="1300"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66pt" o:ole="">
                  <v:imagedata r:id="rId7" o:title=""/>
                </v:shape>
                <o:OLEObject Type="Embed" ProgID="Equation.3" ShapeID="_x0000_i1025" DrawAspect="Content" ObjectID="_1401799982" r:id="rId8"/>
              </w:object>
            </w:r>
          </w:p>
        </w:tc>
      </w:tr>
    </w:tbl>
    <w:p w:rsidR="00847EEA" w:rsidRPr="00741A24" w:rsidRDefault="00847EEA" w:rsidP="00847EEA">
      <w:pPr>
        <w:ind w:left="2160"/>
      </w:pPr>
    </w:p>
    <w:p w:rsidR="00847EEA" w:rsidRPr="00741A24" w:rsidRDefault="0061548C" w:rsidP="00847EEA">
      <w:pPr>
        <w:ind w:left="2160"/>
        <w:rPr>
          <w:rFonts w:eastAsia="TimesNewRoman"/>
        </w:rPr>
      </w:pPr>
      <w:r>
        <w:rPr>
          <w:rFonts w:eastAsia="TimesNewRoman"/>
        </w:rPr>
        <w:t>w</w:t>
      </w:r>
      <w:r w:rsidR="00847EEA" w:rsidRPr="00741A24">
        <w:rPr>
          <w:rFonts w:eastAsia="TimesNewRoman"/>
        </w:rPr>
        <w:t>here:</w:t>
      </w:r>
    </w:p>
    <w:p w:rsidR="00847EEA" w:rsidRPr="00741A24" w:rsidRDefault="00847EEA" w:rsidP="00847EEA">
      <w:pPr>
        <w:ind w:left="2160"/>
        <w:rPr>
          <w:rFonts w:eastAsia="TimesNewRoman"/>
        </w:rPr>
      </w:pPr>
    </w:p>
    <w:tbl>
      <w:tblPr>
        <w:tblW w:w="7101" w:type="dxa"/>
        <w:tblInd w:w="2502" w:type="dxa"/>
        <w:tblLayout w:type="fixed"/>
        <w:tblLook w:val="0000" w:firstRow="0" w:lastRow="0" w:firstColumn="0" w:lastColumn="0" w:noHBand="0" w:noVBand="0"/>
      </w:tblPr>
      <w:tblGrid>
        <w:gridCol w:w="819"/>
        <w:gridCol w:w="297"/>
        <w:gridCol w:w="5949"/>
        <w:gridCol w:w="9"/>
        <w:gridCol w:w="18"/>
        <w:gridCol w:w="9"/>
      </w:tblGrid>
      <w:tr w:rsidR="005A32BF" w:rsidRPr="00741A24" w:rsidTr="00527F92">
        <w:tblPrEx>
          <w:tblCellMar>
            <w:top w:w="0" w:type="dxa"/>
            <w:bottom w:w="0" w:type="dxa"/>
          </w:tblCellMar>
        </w:tblPrEx>
        <w:trPr>
          <w:gridAfter w:val="1"/>
          <w:wAfter w:w="9" w:type="dxa"/>
        </w:trPr>
        <w:tc>
          <w:tcPr>
            <w:tcW w:w="819" w:type="dxa"/>
          </w:tcPr>
          <w:p w:rsidR="005A32BF" w:rsidRPr="00741A24" w:rsidRDefault="005A32BF" w:rsidP="00527F92">
            <w:pPr>
              <w:ind w:left="-9" w:right="-1833"/>
              <w:rPr>
                <w:vertAlign w:val="subscript"/>
              </w:rPr>
            </w:pPr>
            <w:r w:rsidRPr="00741A24">
              <w:rPr>
                <w:rFonts w:eastAsia="TimesNewRoman"/>
              </w:rPr>
              <w:t>M</w:t>
            </w:r>
            <w:r w:rsidRPr="00741A24">
              <w:rPr>
                <w:rFonts w:eastAsia="TimesNewRoman"/>
                <w:vertAlign w:val="subscript"/>
              </w:rPr>
              <w:t>i</w:t>
            </w:r>
          </w:p>
        </w:tc>
        <w:tc>
          <w:tcPr>
            <w:tcW w:w="297" w:type="dxa"/>
          </w:tcPr>
          <w:p w:rsidR="005A32BF" w:rsidRPr="00741A24" w:rsidRDefault="005A32BF" w:rsidP="001E10FD">
            <w:pPr>
              <w:ind w:left="-90" w:right="-1534"/>
            </w:pPr>
            <w:r w:rsidRPr="00741A24">
              <w:t>=</w:t>
            </w:r>
          </w:p>
        </w:tc>
        <w:tc>
          <w:tcPr>
            <w:tcW w:w="5976" w:type="dxa"/>
            <w:gridSpan w:val="3"/>
          </w:tcPr>
          <w:p w:rsidR="005A32BF" w:rsidRPr="00741A24" w:rsidRDefault="005A32BF" w:rsidP="001E10FD">
            <w:r w:rsidRPr="00741A24">
              <w:rPr>
                <w:rFonts w:eastAsia="TimesNewRoman"/>
              </w:rPr>
              <w:t xml:space="preserve">Mass of open molding resin or gel coat </w:t>
            </w:r>
            <w:r w:rsidR="00285B27">
              <w:rPr>
                <w:rFonts w:eastAsia="TimesNewRoman"/>
              </w:rPr>
              <w:t>(</w:t>
            </w:r>
            <w:r w:rsidRPr="00741A24">
              <w:rPr>
                <w:rFonts w:eastAsia="TimesNewRoman"/>
              </w:rPr>
              <w:t>i</w:t>
            </w:r>
            <w:r w:rsidR="00285B27">
              <w:rPr>
                <w:rFonts w:eastAsia="TimesNewRoman"/>
              </w:rPr>
              <w:t>)</w:t>
            </w:r>
            <w:r w:rsidRPr="00741A24">
              <w:rPr>
                <w:rFonts w:eastAsia="TimesNewRoman"/>
              </w:rPr>
              <w:t xml:space="preserve"> used in the past 12 months in an operation, in megagrams</w:t>
            </w:r>
            <w:r w:rsidR="00285B27">
              <w:rPr>
                <w:rFonts w:eastAsia="TimesNewRoman"/>
              </w:rPr>
              <w:t>;</w:t>
            </w:r>
          </w:p>
        </w:tc>
      </w:tr>
      <w:tr w:rsidR="005A32BF" w:rsidRPr="00741A24" w:rsidTr="001E10FD">
        <w:tblPrEx>
          <w:tblCellMar>
            <w:top w:w="0" w:type="dxa"/>
            <w:bottom w:w="0" w:type="dxa"/>
          </w:tblCellMar>
        </w:tblPrEx>
        <w:trPr>
          <w:gridAfter w:val="2"/>
          <w:wAfter w:w="27" w:type="dxa"/>
        </w:trPr>
        <w:tc>
          <w:tcPr>
            <w:tcW w:w="7074" w:type="dxa"/>
            <w:gridSpan w:val="4"/>
          </w:tcPr>
          <w:p w:rsidR="005A32BF" w:rsidRPr="00741A24" w:rsidRDefault="005A32BF" w:rsidP="00527F92">
            <w:pPr>
              <w:ind w:left="-9"/>
            </w:pPr>
          </w:p>
        </w:tc>
      </w:tr>
      <w:tr w:rsidR="005A32BF" w:rsidRPr="00741A24" w:rsidTr="00527F92">
        <w:tblPrEx>
          <w:tblCellMar>
            <w:top w:w="0" w:type="dxa"/>
            <w:bottom w:w="0" w:type="dxa"/>
          </w:tblCellMar>
        </w:tblPrEx>
        <w:tc>
          <w:tcPr>
            <w:tcW w:w="819" w:type="dxa"/>
          </w:tcPr>
          <w:p w:rsidR="005A32BF" w:rsidRPr="00741A24" w:rsidRDefault="005A32BF" w:rsidP="00527F92">
            <w:pPr>
              <w:ind w:left="-9"/>
            </w:pPr>
            <w:r w:rsidRPr="00741A24">
              <w:rPr>
                <w:rFonts w:eastAsia="TimesNewRoman"/>
              </w:rPr>
              <w:t>VOM</w:t>
            </w:r>
            <w:r w:rsidRPr="00741A24">
              <w:rPr>
                <w:rFonts w:eastAsia="TimesNewRoman"/>
                <w:vertAlign w:val="subscript"/>
              </w:rPr>
              <w:t>i</w:t>
            </w:r>
          </w:p>
        </w:tc>
        <w:tc>
          <w:tcPr>
            <w:tcW w:w="297" w:type="dxa"/>
          </w:tcPr>
          <w:p w:rsidR="005A32BF" w:rsidRPr="00741A24" w:rsidRDefault="005A32BF" w:rsidP="001E10FD">
            <w:pPr>
              <w:ind w:left="-90"/>
            </w:pPr>
            <w:r w:rsidRPr="00741A24">
              <w:t>=</w:t>
            </w:r>
          </w:p>
        </w:tc>
        <w:tc>
          <w:tcPr>
            <w:tcW w:w="5985" w:type="dxa"/>
            <w:gridSpan w:val="4"/>
          </w:tcPr>
          <w:p w:rsidR="005A32BF" w:rsidRPr="00741A24" w:rsidRDefault="005A32BF" w:rsidP="001E10FD">
            <w:r w:rsidRPr="00741A24">
              <w:rPr>
                <w:rFonts w:eastAsia="TimesNewRoman"/>
              </w:rPr>
              <w:t xml:space="preserve">Monomer VOM content, by weight percent, of open molding resin or gel coat </w:t>
            </w:r>
            <w:r w:rsidR="00285B27">
              <w:rPr>
                <w:rFonts w:eastAsia="TimesNewRoman"/>
              </w:rPr>
              <w:t>(</w:t>
            </w:r>
            <w:r w:rsidRPr="00741A24">
              <w:rPr>
                <w:rFonts w:eastAsia="TimesNewRoman"/>
              </w:rPr>
              <w:t>i</w:t>
            </w:r>
            <w:r w:rsidR="00285B27">
              <w:rPr>
                <w:rFonts w:eastAsia="TimesNewRoman"/>
              </w:rPr>
              <w:t>)</w:t>
            </w:r>
            <w:r w:rsidRPr="00741A24">
              <w:rPr>
                <w:rFonts w:eastAsia="TimesNewRoman"/>
              </w:rPr>
              <w:t xml:space="preserve"> used in the past 12 months in an operation</w:t>
            </w:r>
            <w:r w:rsidR="00285B27">
              <w:rPr>
                <w:rFonts w:eastAsia="TimesNewRoman"/>
              </w:rPr>
              <w:t>;</w:t>
            </w:r>
          </w:p>
        </w:tc>
      </w:tr>
      <w:tr w:rsidR="005A32BF" w:rsidRPr="00741A24" w:rsidTr="001E10FD">
        <w:tblPrEx>
          <w:tblCellMar>
            <w:top w:w="0" w:type="dxa"/>
            <w:bottom w:w="0" w:type="dxa"/>
          </w:tblCellMar>
        </w:tblPrEx>
        <w:trPr>
          <w:gridAfter w:val="2"/>
          <w:wAfter w:w="27" w:type="dxa"/>
        </w:trPr>
        <w:tc>
          <w:tcPr>
            <w:tcW w:w="7074" w:type="dxa"/>
            <w:gridSpan w:val="4"/>
          </w:tcPr>
          <w:p w:rsidR="005A32BF" w:rsidRPr="00741A24" w:rsidRDefault="005A32BF" w:rsidP="00527F92">
            <w:pPr>
              <w:ind w:left="-9"/>
            </w:pPr>
          </w:p>
        </w:tc>
      </w:tr>
      <w:tr w:rsidR="005A32BF" w:rsidRPr="00741A24" w:rsidTr="00527F92">
        <w:tblPrEx>
          <w:tblCellMar>
            <w:top w:w="0" w:type="dxa"/>
            <w:bottom w:w="0" w:type="dxa"/>
          </w:tblCellMar>
        </w:tblPrEx>
        <w:trPr>
          <w:gridAfter w:val="3"/>
          <w:wAfter w:w="36" w:type="dxa"/>
        </w:trPr>
        <w:tc>
          <w:tcPr>
            <w:tcW w:w="819" w:type="dxa"/>
          </w:tcPr>
          <w:p w:rsidR="005A32BF" w:rsidRPr="00741A24" w:rsidRDefault="005A32BF" w:rsidP="00527F92">
            <w:pPr>
              <w:ind w:left="-9" w:right="-99"/>
            </w:pPr>
            <w:r w:rsidRPr="00741A24">
              <w:t>n</w:t>
            </w:r>
          </w:p>
        </w:tc>
        <w:tc>
          <w:tcPr>
            <w:tcW w:w="297" w:type="dxa"/>
          </w:tcPr>
          <w:p w:rsidR="005A32BF" w:rsidRPr="00741A24" w:rsidRDefault="005A32BF" w:rsidP="001E10FD">
            <w:pPr>
              <w:ind w:left="-90"/>
            </w:pPr>
            <w:r w:rsidRPr="00741A24">
              <w:t>=</w:t>
            </w:r>
          </w:p>
        </w:tc>
        <w:tc>
          <w:tcPr>
            <w:tcW w:w="5949" w:type="dxa"/>
          </w:tcPr>
          <w:p w:rsidR="005A32BF" w:rsidRPr="00741A24" w:rsidRDefault="005A32BF" w:rsidP="001E10FD">
            <w:r w:rsidRPr="00741A24">
              <w:rPr>
                <w:rFonts w:eastAsia="TimesNewRoman"/>
              </w:rPr>
              <w:t>Number of different open molding resins or gel coats used in the past 12 months in an operation.</w:t>
            </w:r>
          </w:p>
        </w:tc>
      </w:tr>
    </w:tbl>
    <w:p w:rsidR="00847EEA" w:rsidRPr="00741A24" w:rsidRDefault="00847EEA" w:rsidP="00847EEA">
      <w:pPr>
        <w:tabs>
          <w:tab w:val="left" w:pos="720"/>
          <w:tab w:val="left" w:pos="1440"/>
          <w:tab w:val="left" w:pos="2160"/>
        </w:tabs>
        <w:ind w:left="2160" w:hanging="2160"/>
      </w:pPr>
    </w:p>
    <w:p w:rsidR="00847EEA" w:rsidRPr="00741A24" w:rsidRDefault="00847EEA" w:rsidP="00847EEA">
      <w:pPr>
        <w:tabs>
          <w:tab w:val="left" w:pos="720"/>
          <w:tab w:val="left" w:pos="1440"/>
        </w:tabs>
        <w:ind w:left="1440" w:hanging="699"/>
      </w:pPr>
      <w:r w:rsidRPr="00741A24">
        <w:t>c)</w:t>
      </w:r>
      <w:r w:rsidRPr="00741A24">
        <w:tab/>
        <w:t>Emissions Averaging Alternative.  The owner or operator of a source subject to the requirements of this Subpart may elect to include some or all of the subject resin and gel coat operations at the source in the emissions averaging alternative.  Resin and gel coat operations utilizing the emissions averaging alternative shall comply with a source-specific monomer VOM mass emission limit on a 12-month rolling average basis, calculated at the end of each calendar month.  All subject resin and gel coat operations that do not utilize the emissions averaging alternative shall comply with the requirements in subsection (b) or (d) of this Section, as well as with all other applicable requirements in this Section.</w:t>
      </w:r>
    </w:p>
    <w:p w:rsidR="00847EEA" w:rsidRPr="00741A24" w:rsidRDefault="00847EEA" w:rsidP="00847EEA">
      <w:pPr>
        <w:tabs>
          <w:tab w:val="left" w:pos="720"/>
          <w:tab w:val="left" w:pos="1440"/>
        </w:tabs>
        <w:ind w:left="1440" w:hanging="1440"/>
      </w:pPr>
    </w:p>
    <w:p w:rsidR="00847EEA" w:rsidRPr="00741A24" w:rsidRDefault="00847EEA" w:rsidP="00847EEA">
      <w:pPr>
        <w:tabs>
          <w:tab w:val="left" w:pos="720"/>
          <w:tab w:val="left" w:pos="1440"/>
        </w:tabs>
        <w:ind w:left="2160" w:hanging="735"/>
      </w:pPr>
      <w:r w:rsidRPr="00741A24">
        <w:t>1)</w:t>
      </w:r>
      <w:r w:rsidRPr="00741A24">
        <w:tab/>
        <w:t>The owner or operator of a</w:t>
      </w:r>
      <w:r w:rsidRPr="00741A24">
        <w:rPr>
          <w:rFonts w:eastAsia="TimesNewRoman"/>
        </w:rPr>
        <w:t xml:space="preserve"> source subject to this subsection (c) shall use </w:t>
      </w:r>
      <w:r w:rsidRPr="00741A24">
        <w:t>Equation 2 to determine the source-specific monomer VOM mass emission limit for resin and gel coats included in the emissions average:</w:t>
      </w:r>
    </w:p>
    <w:p w:rsidR="00847EEA" w:rsidRPr="00741A24" w:rsidRDefault="00847EEA" w:rsidP="00847EEA">
      <w:pPr>
        <w:tabs>
          <w:tab w:val="left" w:pos="720"/>
          <w:tab w:val="left" w:pos="1440"/>
        </w:tabs>
        <w:ind w:left="1440" w:hanging="1440"/>
      </w:pPr>
    </w:p>
    <w:p w:rsidR="00DC5B52" w:rsidRPr="00741A24" w:rsidRDefault="00DC5B52" w:rsidP="00DC5B52">
      <w:pPr>
        <w:ind w:left="1440" w:firstLine="726"/>
      </w:pPr>
      <w:r w:rsidRPr="00741A24">
        <w:t>Equation 2:</w:t>
      </w:r>
    </w:p>
    <w:p w:rsidR="00DC5B52" w:rsidRPr="00741A24" w:rsidRDefault="00DC5B52" w:rsidP="00DC5B52">
      <w:pPr>
        <w:ind w:left="1440" w:firstLine="726"/>
      </w:pPr>
    </w:p>
    <w:tbl>
      <w:tblPr>
        <w:tblW w:w="7244" w:type="dxa"/>
        <w:tblInd w:w="2129" w:type="dxa"/>
        <w:tblLayout w:type="fixed"/>
        <w:tblLook w:val="0000" w:firstRow="0" w:lastRow="0" w:firstColumn="0" w:lastColumn="0" w:noHBand="0" w:noVBand="0"/>
      </w:tblPr>
      <w:tblGrid>
        <w:gridCol w:w="1379"/>
        <w:gridCol w:w="240"/>
        <w:gridCol w:w="5625"/>
      </w:tblGrid>
      <w:tr w:rsidR="0061548C" w:rsidTr="007710B8">
        <w:tblPrEx>
          <w:tblCellMar>
            <w:top w:w="0" w:type="dxa"/>
            <w:bottom w:w="0" w:type="dxa"/>
          </w:tblCellMar>
        </w:tblPrEx>
        <w:tc>
          <w:tcPr>
            <w:tcW w:w="1379" w:type="dxa"/>
          </w:tcPr>
          <w:p w:rsidR="0061548C" w:rsidRDefault="0061548C" w:rsidP="002607D4">
            <w:pPr>
              <w:jc w:val="center"/>
            </w:pPr>
            <w:r>
              <w:t>Monomer</w:t>
            </w:r>
          </w:p>
          <w:p w:rsidR="0061548C" w:rsidRDefault="0061548C" w:rsidP="002607D4">
            <w:pPr>
              <w:jc w:val="center"/>
            </w:pPr>
            <w:r>
              <w:t>VOM Limit</w:t>
            </w:r>
          </w:p>
        </w:tc>
        <w:tc>
          <w:tcPr>
            <w:tcW w:w="240" w:type="dxa"/>
            <w:vAlign w:val="center"/>
          </w:tcPr>
          <w:p w:rsidR="0061548C" w:rsidRDefault="0061548C" w:rsidP="00881866">
            <w:pPr>
              <w:ind w:left="-102"/>
            </w:pPr>
            <w:r>
              <w:t>=</w:t>
            </w:r>
          </w:p>
        </w:tc>
        <w:tc>
          <w:tcPr>
            <w:tcW w:w="5625" w:type="dxa"/>
          </w:tcPr>
          <w:p w:rsidR="0061548C" w:rsidRDefault="0061548C" w:rsidP="00881866">
            <w:r w:rsidRPr="00A31B79">
              <w:rPr>
                <w:position w:val="-12"/>
              </w:rPr>
              <w:object w:dxaOrig="5420" w:dyaOrig="360">
                <v:shape id="_x0000_i1026" type="#_x0000_t75" style="width:270.75pt;height:18pt" o:ole="">
                  <v:imagedata r:id="rId9" o:title=""/>
                </v:shape>
                <o:OLEObject Type="Embed" ProgID="Equation.3" ShapeID="_x0000_i1026" DrawAspect="Content" ObjectID="_1401799983" r:id="rId10"/>
              </w:object>
            </w:r>
          </w:p>
        </w:tc>
      </w:tr>
    </w:tbl>
    <w:p w:rsidR="00DC5B52" w:rsidRPr="00741A24" w:rsidRDefault="00DC5B52" w:rsidP="00DC5B52">
      <w:pPr>
        <w:ind w:left="2160"/>
      </w:pPr>
    </w:p>
    <w:p w:rsidR="00847EEA" w:rsidRPr="00741A24" w:rsidRDefault="00285B27" w:rsidP="005A32BF">
      <w:pPr>
        <w:ind w:firstLine="2142"/>
        <w:rPr>
          <w:rFonts w:eastAsia="TimesNewRoman"/>
        </w:rPr>
      </w:pPr>
      <w:r>
        <w:rPr>
          <w:rFonts w:eastAsia="TimesNewRoman"/>
        </w:rPr>
        <w:t>w</w:t>
      </w:r>
      <w:r w:rsidR="00847EEA" w:rsidRPr="00741A24">
        <w:rPr>
          <w:rFonts w:eastAsia="TimesNewRoman"/>
        </w:rPr>
        <w:t>here:</w:t>
      </w:r>
    </w:p>
    <w:p w:rsidR="00847EEA" w:rsidRPr="00741A24" w:rsidRDefault="00847EEA" w:rsidP="00847EEA">
      <w:pPr>
        <w:ind w:firstLine="900"/>
        <w:rPr>
          <w:rFonts w:eastAsia="TimesNewRoman"/>
        </w:rPr>
      </w:pPr>
    </w:p>
    <w:tbl>
      <w:tblPr>
        <w:tblW w:w="7056" w:type="dxa"/>
        <w:tblInd w:w="2502" w:type="dxa"/>
        <w:tblLayout w:type="fixed"/>
        <w:tblLook w:val="0000" w:firstRow="0" w:lastRow="0" w:firstColumn="0" w:lastColumn="0" w:noHBand="0" w:noVBand="0"/>
      </w:tblPr>
      <w:tblGrid>
        <w:gridCol w:w="1071"/>
        <w:gridCol w:w="333"/>
        <w:gridCol w:w="5652"/>
      </w:tblGrid>
      <w:tr w:rsidR="005A32BF" w:rsidRPr="00741A24" w:rsidTr="005A32BF">
        <w:tblPrEx>
          <w:tblCellMar>
            <w:top w:w="0" w:type="dxa"/>
            <w:bottom w:w="0" w:type="dxa"/>
          </w:tblCellMar>
        </w:tblPrEx>
        <w:tc>
          <w:tcPr>
            <w:tcW w:w="1071" w:type="dxa"/>
          </w:tcPr>
          <w:p w:rsidR="005A32BF" w:rsidRPr="00741A24" w:rsidRDefault="005A32BF" w:rsidP="005A32BF">
            <w:pPr>
              <w:ind w:left="-51" w:right="-118"/>
              <w:rPr>
                <w:vertAlign w:val="subscript"/>
              </w:rPr>
            </w:pPr>
            <w:r w:rsidRPr="00741A24">
              <w:rPr>
                <w:rFonts w:eastAsia="TimesNewRoman"/>
              </w:rPr>
              <w:lastRenderedPageBreak/>
              <w:t xml:space="preserve">Monomer VOM </w:t>
            </w:r>
            <w:r w:rsidR="00E448D8">
              <w:rPr>
                <w:rFonts w:eastAsia="TimesNewRoman"/>
              </w:rPr>
              <w:t>Limit</w:t>
            </w:r>
          </w:p>
        </w:tc>
        <w:tc>
          <w:tcPr>
            <w:tcW w:w="333" w:type="dxa"/>
          </w:tcPr>
          <w:p w:rsidR="005A32BF" w:rsidRPr="00741A24" w:rsidRDefault="005A32BF" w:rsidP="001E10FD">
            <w:pPr>
              <w:ind w:left="-90" w:right="-1534"/>
            </w:pPr>
            <w:r w:rsidRPr="00741A24">
              <w:t>=</w:t>
            </w:r>
          </w:p>
        </w:tc>
        <w:tc>
          <w:tcPr>
            <w:tcW w:w="5652" w:type="dxa"/>
          </w:tcPr>
          <w:p w:rsidR="005A32BF" w:rsidRPr="00741A24" w:rsidRDefault="005A32BF" w:rsidP="001E10FD">
            <w:r w:rsidRPr="00741A24">
              <w:rPr>
                <w:rFonts w:eastAsia="TimesNewRoman"/>
              </w:rPr>
              <w:t>Total allowable monomer VOM that can be emitted from the open molding operations included in the average, expressed in kilograms per 12-month period</w:t>
            </w:r>
            <w:r w:rsidR="00285B27">
              <w:rPr>
                <w:rFonts w:eastAsia="TimesNewRoman"/>
              </w:rPr>
              <w:t>;</w:t>
            </w:r>
          </w:p>
        </w:tc>
      </w:tr>
      <w:tr w:rsidR="005A32BF" w:rsidRPr="00741A24" w:rsidTr="005A32BF">
        <w:tblPrEx>
          <w:tblCellMar>
            <w:top w:w="0" w:type="dxa"/>
            <w:bottom w:w="0" w:type="dxa"/>
          </w:tblCellMar>
        </w:tblPrEx>
        <w:tc>
          <w:tcPr>
            <w:tcW w:w="7056" w:type="dxa"/>
            <w:gridSpan w:val="3"/>
          </w:tcPr>
          <w:p w:rsidR="005A32BF" w:rsidRPr="00741A24" w:rsidRDefault="005A32BF" w:rsidP="001E10FD">
            <w:pPr>
              <w:ind w:left="-90"/>
            </w:pPr>
          </w:p>
        </w:tc>
      </w:tr>
      <w:tr w:rsidR="005A32BF" w:rsidRPr="00741A24" w:rsidTr="005A32BF">
        <w:tblPrEx>
          <w:tblCellMar>
            <w:top w:w="0" w:type="dxa"/>
            <w:bottom w:w="0" w:type="dxa"/>
          </w:tblCellMar>
        </w:tblPrEx>
        <w:tc>
          <w:tcPr>
            <w:tcW w:w="1071" w:type="dxa"/>
          </w:tcPr>
          <w:p w:rsidR="005A32BF" w:rsidRPr="00741A24" w:rsidRDefault="005A32BF" w:rsidP="001E10FD">
            <w:r w:rsidRPr="00741A24">
              <w:rPr>
                <w:rFonts w:eastAsia="TimesNewRoman"/>
              </w:rPr>
              <w:t>M</w:t>
            </w:r>
            <w:r w:rsidRPr="00741A24">
              <w:rPr>
                <w:rFonts w:eastAsia="TimesNewRoman"/>
                <w:vertAlign w:val="subscript"/>
              </w:rPr>
              <w:t>R</w:t>
            </w:r>
          </w:p>
        </w:tc>
        <w:tc>
          <w:tcPr>
            <w:tcW w:w="333" w:type="dxa"/>
          </w:tcPr>
          <w:p w:rsidR="005A32BF" w:rsidRPr="00741A24" w:rsidRDefault="005A32BF" w:rsidP="001E10FD">
            <w:pPr>
              <w:ind w:left="-90"/>
            </w:pPr>
            <w:r w:rsidRPr="00741A24">
              <w:t>=</w:t>
            </w:r>
          </w:p>
        </w:tc>
        <w:tc>
          <w:tcPr>
            <w:tcW w:w="5652" w:type="dxa"/>
          </w:tcPr>
          <w:p w:rsidR="005A32BF" w:rsidRPr="00741A24" w:rsidRDefault="005A32BF" w:rsidP="001E10FD">
            <w:r w:rsidRPr="00741A24">
              <w:rPr>
                <w:rFonts w:eastAsia="TimesNewRoman"/>
              </w:rPr>
              <w:t>Mass of production resin used in the past 12 months, excluding any materials that are exempt, expressed in megagrams</w:t>
            </w:r>
            <w:r w:rsidR="00285B27">
              <w:rPr>
                <w:rFonts w:eastAsia="TimesNewRoman"/>
              </w:rPr>
              <w:t xml:space="preserve"> (Mg);</w:t>
            </w:r>
          </w:p>
        </w:tc>
      </w:tr>
      <w:tr w:rsidR="005A32BF" w:rsidRPr="00741A24" w:rsidTr="005A32BF">
        <w:tblPrEx>
          <w:tblCellMar>
            <w:top w:w="0" w:type="dxa"/>
            <w:bottom w:w="0" w:type="dxa"/>
          </w:tblCellMar>
        </w:tblPrEx>
        <w:tc>
          <w:tcPr>
            <w:tcW w:w="7056" w:type="dxa"/>
            <w:gridSpan w:val="3"/>
          </w:tcPr>
          <w:p w:rsidR="005A32BF" w:rsidRPr="00741A24" w:rsidRDefault="005A32BF" w:rsidP="001E10FD">
            <w:pPr>
              <w:ind w:left="-90"/>
            </w:pPr>
          </w:p>
        </w:tc>
      </w:tr>
      <w:tr w:rsidR="005A32BF" w:rsidRPr="00741A24" w:rsidTr="005A32BF">
        <w:tblPrEx>
          <w:tblCellMar>
            <w:top w:w="0" w:type="dxa"/>
            <w:bottom w:w="0" w:type="dxa"/>
          </w:tblCellMar>
        </w:tblPrEx>
        <w:tc>
          <w:tcPr>
            <w:tcW w:w="1071" w:type="dxa"/>
          </w:tcPr>
          <w:p w:rsidR="005A32BF" w:rsidRPr="00741A24" w:rsidRDefault="005A32BF" w:rsidP="001E10FD">
            <w:pPr>
              <w:ind w:right="-99"/>
            </w:pPr>
            <w:r w:rsidRPr="00741A24">
              <w:rPr>
                <w:rFonts w:eastAsia="TimesNewRoman"/>
              </w:rPr>
              <w:t>M</w:t>
            </w:r>
            <w:r w:rsidRPr="00741A24">
              <w:rPr>
                <w:rFonts w:eastAsia="TimesNewRoman"/>
                <w:vertAlign w:val="subscript"/>
              </w:rPr>
              <w:t>PG</w:t>
            </w:r>
          </w:p>
        </w:tc>
        <w:tc>
          <w:tcPr>
            <w:tcW w:w="333" w:type="dxa"/>
          </w:tcPr>
          <w:p w:rsidR="005A32BF" w:rsidRPr="00741A24" w:rsidRDefault="005A32BF" w:rsidP="001E10FD">
            <w:pPr>
              <w:ind w:left="-90"/>
            </w:pPr>
            <w:r w:rsidRPr="00741A24">
              <w:t>=</w:t>
            </w:r>
          </w:p>
        </w:tc>
        <w:tc>
          <w:tcPr>
            <w:tcW w:w="5652" w:type="dxa"/>
          </w:tcPr>
          <w:p w:rsidR="005A32BF" w:rsidRPr="00741A24" w:rsidRDefault="005A32BF" w:rsidP="001E10FD">
            <w:r w:rsidRPr="00741A24">
              <w:rPr>
                <w:rFonts w:eastAsia="TimesNewRoman"/>
              </w:rPr>
              <w:t xml:space="preserve">Mass of pigmented gel coat used in the past 12 months, excluding any materials that are exempt, expressed in </w:t>
            </w:r>
            <w:r w:rsidR="00285B27">
              <w:rPr>
                <w:rFonts w:eastAsia="TimesNewRoman"/>
              </w:rPr>
              <w:t>Mg;</w:t>
            </w:r>
          </w:p>
        </w:tc>
      </w:tr>
      <w:tr w:rsidR="005A32BF" w:rsidRPr="00741A24" w:rsidTr="005A32BF">
        <w:tblPrEx>
          <w:tblCellMar>
            <w:top w:w="0" w:type="dxa"/>
            <w:bottom w:w="0" w:type="dxa"/>
          </w:tblCellMar>
        </w:tblPrEx>
        <w:tc>
          <w:tcPr>
            <w:tcW w:w="7056" w:type="dxa"/>
            <w:gridSpan w:val="3"/>
          </w:tcPr>
          <w:p w:rsidR="005A32BF" w:rsidRPr="00741A24" w:rsidRDefault="005A32BF" w:rsidP="001E10FD">
            <w:pPr>
              <w:ind w:left="-90"/>
            </w:pPr>
          </w:p>
        </w:tc>
      </w:tr>
      <w:tr w:rsidR="005A32BF" w:rsidRPr="00741A24" w:rsidTr="005A32BF">
        <w:tblPrEx>
          <w:tblCellMar>
            <w:top w:w="0" w:type="dxa"/>
            <w:bottom w:w="0" w:type="dxa"/>
          </w:tblCellMar>
        </w:tblPrEx>
        <w:tc>
          <w:tcPr>
            <w:tcW w:w="1071" w:type="dxa"/>
          </w:tcPr>
          <w:p w:rsidR="005A32BF" w:rsidRPr="00741A24" w:rsidRDefault="005A32BF" w:rsidP="001E10FD">
            <w:pPr>
              <w:ind w:right="-81"/>
              <w:rPr>
                <w:vertAlign w:val="subscript"/>
              </w:rPr>
            </w:pPr>
            <w:r w:rsidRPr="00741A24">
              <w:t>M</w:t>
            </w:r>
            <w:r w:rsidRPr="00741A24">
              <w:rPr>
                <w:vertAlign w:val="subscript"/>
              </w:rPr>
              <w:t>CG</w:t>
            </w:r>
          </w:p>
        </w:tc>
        <w:tc>
          <w:tcPr>
            <w:tcW w:w="333" w:type="dxa"/>
          </w:tcPr>
          <w:p w:rsidR="005A32BF" w:rsidRPr="00741A24" w:rsidRDefault="005A32BF" w:rsidP="001E10FD">
            <w:pPr>
              <w:ind w:left="-90"/>
            </w:pPr>
            <w:r w:rsidRPr="00741A24">
              <w:t>=</w:t>
            </w:r>
          </w:p>
        </w:tc>
        <w:tc>
          <w:tcPr>
            <w:tcW w:w="5652" w:type="dxa"/>
          </w:tcPr>
          <w:p w:rsidR="005A32BF" w:rsidRPr="00741A24" w:rsidRDefault="005A32BF" w:rsidP="001E10FD">
            <w:r w:rsidRPr="00741A24">
              <w:rPr>
                <w:rFonts w:eastAsia="TimesNewRoman"/>
              </w:rPr>
              <w:t xml:space="preserve">Mass of clear gel coat used in the past 12 months, excluding any materials that are exempt, expressed in </w:t>
            </w:r>
            <w:r w:rsidR="00285B27">
              <w:rPr>
                <w:rFonts w:eastAsia="TimesNewRoman"/>
              </w:rPr>
              <w:t>Mg;</w:t>
            </w:r>
          </w:p>
        </w:tc>
      </w:tr>
      <w:tr w:rsidR="005A32BF" w:rsidRPr="00741A24" w:rsidTr="001E10FD">
        <w:tblPrEx>
          <w:tblCellMar>
            <w:top w:w="0" w:type="dxa"/>
            <w:bottom w:w="0" w:type="dxa"/>
          </w:tblCellMar>
        </w:tblPrEx>
        <w:tc>
          <w:tcPr>
            <w:tcW w:w="7056" w:type="dxa"/>
            <w:gridSpan w:val="3"/>
          </w:tcPr>
          <w:p w:rsidR="005A32BF" w:rsidRPr="00741A24" w:rsidRDefault="005A32BF" w:rsidP="001E10FD">
            <w:pPr>
              <w:rPr>
                <w:rFonts w:eastAsia="TimesNewRoman"/>
              </w:rPr>
            </w:pPr>
          </w:p>
        </w:tc>
      </w:tr>
      <w:tr w:rsidR="005A32BF" w:rsidRPr="00741A24" w:rsidTr="005A32BF">
        <w:tblPrEx>
          <w:tblCellMar>
            <w:top w:w="0" w:type="dxa"/>
            <w:bottom w:w="0" w:type="dxa"/>
          </w:tblCellMar>
        </w:tblPrEx>
        <w:tc>
          <w:tcPr>
            <w:tcW w:w="1071" w:type="dxa"/>
          </w:tcPr>
          <w:p w:rsidR="005A32BF" w:rsidRPr="00741A24" w:rsidRDefault="005A32BF" w:rsidP="001E10FD">
            <w:pPr>
              <w:ind w:right="-81"/>
            </w:pPr>
            <w:r w:rsidRPr="00741A24">
              <w:rPr>
                <w:rFonts w:eastAsia="TimesNewRoman"/>
              </w:rPr>
              <w:t>M</w:t>
            </w:r>
            <w:r w:rsidRPr="00741A24">
              <w:rPr>
                <w:rFonts w:eastAsia="TimesNewRoman"/>
                <w:vertAlign w:val="subscript"/>
              </w:rPr>
              <w:t>TR</w:t>
            </w:r>
          </w:p>
        </w:tc>
        <w:tc>
          <w:tcPr>
            <w:tcW w:w="333" w:type="dxa"/>
          </w:tcPr>
          <w:p w:rsidR="005A32BF" w:rsidRPr="00741A24" w:rsidRDefault="005A32BF" w:rsidP="001E10FD">
            <w:pPr>
              <w:ind w:left="-90"/>
            </w:pPr>
            <w:r w:rsidRPr="00741A24">
              <w:t>=</w:t>
            </w:r>
          </w:p>
        </w:tc>
        <w:tc>
          <w:tcPr>
            <w:tcW w:w="5652" w:type="dxa"/>
          </w:tcPr>
          <w:p w:rsidR="005A32BF" w:rsidRPr="00741A24" w:rsidRDefault="005A32BF" w:rsidP="001E10FD">
            <w:pPr>
              <w:rPr>
                <w:rFonts w:eastAsia="TimesNewRoman"/>
              </w:rPr>
            </w:pPr>
            <w:r w:rsidRPr="00741A24">
              <w:rPr>
                <w:rFonts w:eastAsia="TimesNewRoman"/>
              </w:rPr>
              <w:t xml:space="preserve">Mass of tooling resin used in the past 12 months, excluding any materials that are exempt, expressed in </w:t>
            </w:r>
            <w:r w:rsidR="00285B27">
              <w:rPr>
                <w:rFonts w:eastAsia="TimesNewRoman"/>
              </w:rPr>
              <w:t>Mg;</w:t>
            </w:r>
          </w:p>
        </w:tc>
      </w:tr>
      <w:tr w:rsidR="005A32BF" w:rsidRPr="00741A24" w:rsidTr="005A32BF">
        <w:tblPrEx>
          <w:tblCellMar>
            <w:top w:w="0" w:type="dxa"/>
            <w:bottom w:w="0" w:type="dxa"/>
          </w:tblCellMar>
        </w:tblPrEx>
        <w:tc>
          <w:tcPr>
            <w:tcW w:w="1071" w:type="dxa"/>
          </w:tcPr>
          <w:p w:rsidR="005A32BF" w:rsidRPr="00741A24" w:rsidRDefault="005A32BF" w:rsidP="001E10FD">
            <w:pPr>
              <w:ind w:right="-81"/>
              <w:rPr>
                <w:rFonts w:eastAsia="TimesNewRoman"/>
              </w:rPr>
            </w:pPr>
          </w:p>
        </w:tc>
        <w:tc>
          <w:tcPr>
            <w:tcW w:w="333" w:type="dxa"/>
          </w:tcPr>
          <w:p w:rsidR="005A32BF" w:rsidRPr="00741A24" w:rsidRDefault="005A32BF" w:rsidP="001E10FD">
            <w:pPr>
              <w:ind w:left="-90"/>
            </w:pPr>
          </w:p>
        </w:tc>
        <w:tc>
          <w:tcPr>
            <w:tcW w:w="5652" w:type="dxa"/>
          </w:tcPr>
          <w:p w:rsidR="005A32BF" w:rsidRPr="00741A24" w:rsidRDefault="005A32BF" w:rsidP="001E10FD">
            <w:pPr>
              <w:rPr>
                <w:rFonts w:eastAsia="TimesNewRoman"/>
              </w:rPr>
            </w:pPr>
          </w:p>
        </w:tc>
      </w:tr>
      <w:tr w:rsidR="005A32BF" w:rsidRPr="00741A24" w:rsidTr="005A32BF">
        <w:tblPrEx>
          <w:tblCellMar>
            <w:top w:w="0" w:type="dxa"/>
            <w:bottom w:w="0" w:type="dxa"/>
          </w:tblCellMar>
        </w:tblPrEx>
        <w:tc>
          <w:tcPr>
            <w:tcW w:w="1071" w:type="dxa"/>
          </w:tcPr>
          <w:p w:rsidR="005A32BF" w:rsidRPr="00741A24" w:rsidRDefault="005A32BF" w:rsidP="001E10FD">
            <w:pPr>
              <w:ind w:right="-81"/>
              <w:rPr>
                <w:rFonts w:eastAsia="TimesNewRoman"/>
              </w:rPr>
            </w:pPr>
            <w:r w:rsidRPr="00741A24">
              <w:rPr>
                <w:rFonts w:eastAsia="TimesNewRoman"/>
              </w:rPr>
              <w:t>M</w:t>
            </w:r>
            <w:r w:rsidRPr="00741A24">
              <w:rPr>
                <w:rFonts w:eastAsia="TimesNewRoman"/>
                <w:vertAlign w:val="subscript"/>
              </w:rPr>
              <w:t>TG</w:t>
            </w:r>
          </w:p>
        </w:tc>
        <w:tc>
          <w:tcPr>
            <w:tcW w:w="333" w:type="dxa"/>
          </w:tcPr>
          <w:p w:rsidR="005A32BF" w:rsidRPr="00741A24" w:rsidRDefault="005A32BF" w:rsidP="001E10FD">
            <w:pPr>
              <w:ind w:left="-90"/>
            </w:pPr>
            <w:r w:rsidRPr="00741A24">
              <w:t>=</w:t>
            </w:r>
          </w:p>
        </w:tc>
        <w:tc>
          <w:tcPr>
            <w:tcW w:w="5652" w:type="dxa"/>
          </w:tcPr>
          <w:p w:rsidR="005A32BF" w:rsidRPr="00741A24" w:rsidRDefault="005A32BF" w:rsidP="001E10FD">
            <w:pPr>
              <w:rPr>
                <w:rFonts w:eastAsia="TimesNewRoman"/>
              </w:rPr>
            </w:pPr>
            <w:r w:rsidRPr="00741A24">
              <w:rPr>
                <w:rFonts w:eastAsia="TimesNewRoman"/>
              </w:rPr>
              <w:t xml:space="preserve">Mass of tooling gel coat used in the past 12 months, excluding any materials that are exempt, expressed in </w:t>
            </w:r>
            <w:r w:rsidR="00285B27">
              <w:rPr>
                <w:rFonts w:eastAsia="TimesNewRoman"/>
              </w:rPr>
              <w:t>Mg</w:t>
            </w:r>
            <w:r w:rsidR="0061548C">
              <w:rPr>
                <w:rFonts w:eastAsia="TimesNewRoman"/>
              </w:rPr>
              <w:t>.</w:t>
            </w:r>
          </w:p>
        </w:tc>
      </w:tr>
    </w:tbl>
    <w:p w:rsidR="005A32BF" w:rsidRPr="00741A24" w:rsidRDefault="005A32BF" w:rsidP="00847EEA">
      <w:pPr>
        <w:ind w:firstLine="900"/>
        <w:rPr>
          <w:rFonts w:eastAsia="TimesNewRoman"/>
        </w:rPr>
      </w:pPr>
    </w:p>
    <w:p w:rsidR="00847EEA" w:rsidRPr="00741A24" w:rsidRDefault="00847EEA" w:rsidP="00847EEA">
      <w:pPr>
        <w:tabs>
          <w:tab w:val="left" w:pos="1440"/>
          <w:tab w:val="left" w:pos="2160"/>
        </w:tabs>
        <w:ind w:left="2160"/>
        <w:rPr>
          <w:rFonts w:eastAsia="TimesNewRoman"/>
        </w:rPr>
      </w:pPr>
      <w:r w:rsidRPr="00741A24">
        <w:rPr>
          <w:rFonts w:eastAsia="TimesNewRoman"/>
        </w:rPr>
        <w:t>The numerical coefficients associated with each term on the right hand side of Equation 2 are the allowable monomer VOM emission rates for that particular material in units of kg VOM/Mg of material used.</w:t>
      </w:r>
    </w:p>
    <w:p w:rsidR="00847EEA" w:rsidRPr="00741A24" w:rsidRDefault="00847EEA" w:rsidP="00847EEA">
      <w:pPr>
        <w:ind w:left="3600" w:hanging="2700"/>
        <w:rPr>
          <w:rFonts w:eastAsia="TimesNewRoman"/>
        </w:rPr>
      </w:pPr>
    </w:p>
    <w:p w:rsidR="008868A5" w:rsidRPr="00163DF3" w:rsidRDefault="00847EEA" w:rsidP="008868A5">
      <w:pPr>
        <w:tabs>
          <w:tab w:val="left" w:pos="1440"/>
          <w:tab w:val="left" w:pos="2160"/>
          <w:tab w:val="left" w:pos="2880"/>
          <w:tab w:val="left" w:pos="3600"/>
          <w:tab w:val="left" w:pos="4320"/>
          <w:tab w:val="left" w:pos="5040"/>
        </w:tabs>
        <w:ind w:left="2160" w:hanging="735"/>
        <w:rPr>
          <w:rFonts w:eastAsia="TimesNewRoman"/>
        </w:rPr>
      </w:pPr>
      <w:r w:rsidRPr="00741A24">
        <w:rPr>
          <w:rFonts w:eastAsia="TimesNewRoman"/>
        </w:rPr>
        <w:t>2)</w:t>
      </w:r>
      <w:r w:rsidRPr="00741A24">
        <w:rPr>
          <w:rFonts w:eastAsia="TimesNewRoman"/>
        </w:rPr>
        <w:tab/>
        <w:t>At the end of the first 12-month averaging period, and at the end of each subsequent month, the owner or operator of a source subject to this subsection (c) shall use Equation 3 to calculate the monomer VOM emissions from the resin and gel coat operations included in the emissions average.</w:t>
      </w:r>
      <w:r w:rsidR="008868A5" w:rsidRPr="00163DF3">
        <w:rPr>
          <w:rFonts w:eastAsia="TimesNewRoman"/>
        </w:rPr>
        <w:t xml:space="preserve">  The monomer VOM emissions calculated using Equation 3 shall not exceed the monomer VOM limit calculated using Equation 2.</w:t>
      </w:r>
    </w:p>
    <w:p w:rsidR="00847EEA" w:rsidRPr="00741A24" w:rsidRDefault="00847EEA" w:rsidP="00847EEA">
      <w:pPr>
        <w:tabs>
          <w:tab w:val="left" w:pos="1440"/>
          <w:tab w:val="left" w:pos="2160"/>
          <w:tab w:val="left" w:pos="2880"/>
          <w:tab w:val="left" w:pos="3600"/>
          <w:tab w:val="left" w:pos="4320"/>
          <w:tab w:val="left" w:pos="5040"/>
        </w:tabs>
        <w:ind w:left="2160" w:hanging="1253"/>
        <w:rPr>
          <w:rFonts w:eastAsia="TimesNewRoman"/>
        </w:rPr>
      </w:pPr>
    </w:p>
    <w:p w:rsidR="00847EEA" w:rsidRPr="00741A24" w:rsidRDefault="00847EEA" w:rsidP="006C2BE8">
      <w:pPr>
        <w:tabs>
          <w:tab w:val="left" w:pos="1440"/>
          <w:tab w:val="left" w:pos="2160"/>
          <w:tab w:val="left" w:pos="2880"/>
          <w:tab w:val="left" w:pos="3600"/>
          <w:tab w:val="left" w:pos="4320"/>
          <w:tab w:val="left" w:pos="5040"/>
        </w:tabs>
        <w:ind w:left="2160" w:firstLine="6"/>
        <w:rPr>
          <w:rFonts w:eastAsia="TimesNewRoman"/>
        </w:rPr>
      </w:pPr>
      <w:r w:rsidRPr="00741A24">
        <w:rPr>
          <w:rFonts w:eastAsia="TimesNewRoman"/>
        </w:rPr>
        <w:t>Equation 3:</w:t>
      </w:r>
    </w:p>
    <w:p w:rsidR="00E63D80" w:rsidRPr="00741A24" w:rsidRDefault="00E63D80" w:rsidP="006C2BE8">
      <w:pPr>
        <w:tabs>
          <w:tab w:val="left" w:pos="1440"/>
          <w:tab w:val="left" w:pos="2160"/>
          <w:tab w:val="left" w:pos="2880"/>
          <w:tab w:val="left" w:pos="3600"/>
          <w:tab w:val="left" w:pos="4320"/>
          <w:tab w:val="left" w:pos="5040"/>
        </w:tabs>
        <w:ind w:left="2160" w:firstLine="6"/>
        <w:rPr>
          <w:rFonts w:eastAsia="TimesNewRoman"/>
        </w:rPr>
      </w:pPr>
    </w:p>
    <w:tbl>
      <w:tblPr>
        <w:tblW w:w="6394" w:type="dxa"/>
        <w:tblInd w:w="2958" w:type="dxa"/>
        <w:tblLayout w:type="fixed"/>
        <w:tblLook w:val="0000" w:firstRow="0" w:lastRow="0" w:firstColumn="0" w:lastColumn="0" w:noHBand="0" w:noVBand="0"/>
      </w:tblPr>
      <w:tblGrid>
        <w:gridCol w:w="1332"/>
        <w:gridCol w:w="366"/>
        <w:gridCol w:w="4696"/>
      </w:tblGrid>
      <w:tr w:rsidR="00DC5B52" w:rsidTr="0061548C">
        <w:tblPrEx>
          <w:tblCellMar>
            <w:top w:w="0" w:type="dxa"/>
            <w:bottom w:w="0" w:type="dxa"/>
          </w:tblCellMar>
        </w:tblPrEx>
        <w:tc>
          <w:tcPr>
            <w:tcW w:w="1332" w:type="dxa"/>
          </w:tcPr>
          <w:p w:rsidR="0061548C" w:rsidRDefault="00DC5B52" w:rsidP="002607D4">
            <w:pPr>
              <w:jc w:val="center"/>
              <w:rPr>
                <w:rFonts w:eastAsia="TimesNewRoman"/>
              </w:rPr>
            </w:pPr>
            <w:r>
              <w:rPr>
                <w:rFonts w:eastAsia="TimesNewRoman"/>
              </w:rPr>
              <w:t>Monomer</w:t>
            </w:r>
          </w:p>
          <w:p w:rsidR="00DC5B52" w:rsidRDefault="00DC5B52" w:rsidP="002607D4">
            <w:pPr>
              <w:jc w:val="center"/>
              <w:rPr>
                <w:rFonts w:eastAsia="TimesNewRoman"/>
              </w:rPr>
            </w:pPr>
            <w:r>
              <w:rPr>
                <w:rFonts w:eastAsia="TimesNewRoman"/>
              </w:rPr>
              <w:t>VOM</w:t>
            </w:r>
          </w:p>
          <w:p w:rsidR="00DC5B52" w:rsidRDefault="00DC5B52" w:rsidP="002607D4">
            <w:pPr>
              <w:jc w:val="center"/>
              <w:rPr>
                <w:rFonts w:eastAsia="TimesNewRoman"/>
              </w:rPr>
            </w:pPr>
            <w:r>
              <w:rPr>
                <w:rFonts w:eastAsia="TimesNewRoman"/>
              </w:rPr>
              <w:t>Emissions</w:t>
            </w:r>
          </w:p>
        </w:tc>
        <w:tc>
          <w:tcPr>
            <w:tcW w:w="366" w:type="dxa"/>
            <w:vAlign w:val="center"/>
          </w:tcPr>
          <w:p w:rsidR="00DC5B52" w:rsidRDefault="00DC5B52" w:rsidP="00CC4C1D">
            <w:pPr>
              <w:ind w:left="-106"/>
              <w:rPr>
                <w:rFonts w:eastAsia="TimesNewRoman"/>
              </w:rPr>
            </w:pPr>
            <w:r>
              <w:rPr>
                <w:rFonts w:eastAsia="TimesNewRoman"/>
              </w:rPr>
              <w:t>=</w:t>
            </w:r>
          </w:p>
        </w:tc>
        <w:tc>
          <w:tcPr>
            <w:tcW w:w="4696" w:type="dxa"/>
          </w:tcPr>
          <w:p w:rsidR="00DC5B52" w:rsidRPr="00741A24" w:rsidRDefault="0061548C" w:rsidP="00CC4C1D">
            <w:pPr>
              <w:ind w:left="3033" w:hanging="3042"/>
              <w:rPr>
                <w:rFonts w:eastAsia="TimesNewRoman"/>
              </w:rPr>
            </w:pPr>
            <w:r w:rsidRPr="00741A24">
              <w:rPr>
                <w:rFonts w:eastAsia="TimesNewRoman"/>
                <w:position w:val="-12"/>
              </w:rPr>
              <w:object w:dxaOrig="4380" w:dyaOrig="360">
                <v:shape id="_x0000_i1027" type="#_x0000_t75" style="width:219pt;height:18pt" o:ole="">
                  <v:imagedata r:id="rId11" o:title=""/>
                </v:shape>
                <o:OLEObject Type="Embed" ProgID="Equation.3" ShapeID="_x0000_i1027" DrawAspect="Content" ObjectID="_1401799984" r:id="rId12"/>
              </w:object>
            </w:r>
          </w:p>
          <w:p w:rsidR="00DC5B52" w:rsidRDefault="00DC5B52" w:rsidP="00CC4C1D">
            <w:pPr>
              <w:rPr>
                <w:rFonts w:eastAsia="TimesNewRoman"/>
              </w:rPr>
            </w:pPr>
            <w:r w:rsidRPr="00741A24">
              <w:rPr>
                <w:rFonts w:eastAsia="TimesNewRoman"/>
                <w:position w:val="-12"/>
              </w:rPr>
              <w:object w:dxaOrig="2780" w:dyaOrig="360">
                <v:shape id="_x0000_i1028" type="#_x0000_t75" style="width:138.75pt;height:18pt" o:ole="">
                  <v:imagedata r:id="rId13" o:title=""/>
                </v:shape>
                <o:OLEObject Type="Embed" ProgID="Equation.3" ShapeID="_x0000_i1028" DrawAspect="Content" ObjectID="_1401799985" r:id="rId14"/>
              </w:object>
            </w:r>
          </w:p>
        </w:tc>
      </w:tr>
    </w:tbl>
    <w:p w:rsidR="006C2BE8" w:rsidRPr="00741A24" w:rsidRDefault="006C2BE8" w:rsidP="00847EEA">
      <w:pPr>
        <w:ind w:left="2160"/>
        <w:rPr>
          <w:rFonts w:eastAsia="TimesNewRoman"/>
        </w:rPr>
      </w:pPr>
    </w:p>
    <w:p w:rsidR="006C2BE8" w:rsidRPr="00741A24" w:rsidRDefault="00285B27" w:rsidP="006C2BE8">
      <w:pPr>
        <w:ind w:left="1440" w:firstLine="720"/>
        <w:rPr>
          <w:rFonts w:eastAsia="TimesNewRoman"/>
        </w:rPr>
      </w:pPr>
      <w:r>
        <w:rPr>
          <w:rFonts w:eastAsia="TimesNewRoman"/>
        </w:rPr>
        <w:t>w</w:t>
      </w:r>
      <w:r w:rsidR="006C2BE8" w:rsidRPr="00741A24">
        <w:rPr>
          <w:rFonts w:eastAsia="TimesNewRoman"/>
        </w:rPr>
        <w:t>here:</w:t>
      </w:r>
    </w:p>
    <w:p w:rsidR="006C2BE8" w:rsidRPr="00741A24" w:rsidRDefault="006C2BE8" w:rsidP="006C2BE8">
      <w:pPr>
        <w:ind w:left="1440" w:firstLine="720"/>
        <w:rPr>
          <w:rFonts w:eastAsia="TimesNewRoman"/>
        </w:rPr>
      </w:pPr>
    </w:p>
    <w:tbl>
      <w:tblPr>
        <w:tblW w:w="7056" w:type="dxa"/>
        <w:tblInd w:w="2502" w:type="dxa"/>
        <w:tblLayout w:type="fixed"/>
        <w:tblLook w:val="0000" w:firstRow="0" w:lastRow="0" w:firstColumn="0" w:lastColumn="0" w:noHBand="0" w:noVBand="0"/>
      </w:tblPr>
      <w:tblGrid>
        <w:gridCol w:w="1071"/>
        <w:gridCol w:w="333"/>
        <w:gridCol w:w="5652"/>
      </w:tblGrid>
      <w:tr w:rsidR="00E63D80" w:rsidRPr="00741A24" w:rsidTr="001E10FD">
        <w:tblPrEx>
          <w:tblCellMar>
            <w:top w:w="0" w:type="dxa"/>
            <w:bottom w:w="0" w:type="dxa"/>
          </w:tblCellMar>
        </w:tblPrEx>
        <w:tc>
          <w:tcPr>
            <w:tcW w:w="1071" w:type="dxa"/>
          </w:tcPr>
          <w:p w:rsidR="00E63D80" w:rsidRPr="00741A24" w:rsidRDefault="00E63D80" w:rsidP="001E10FD">
            <w:pPr>
              <w:ind w:left="-51" w:right="-118"/>
              <w:rPr>
                <w:vertAlign w:val="subscript"/>
              </w:rPr>
            </w:pPr>
            <w:r w:rsidRPr="00741A24">
              <w:rPr>
                <w:rFonts w:eastAsia="TimesNewRoman"/>
              </w:rPr>
              <w:t>Monomer VOM Emissions</w:t>
            </w:r>
          </w:p>
        </w:tc>
        <w:tc>
          <w:tcPr>
            <w:tcW w:w="333" w:type="dxa"/>
          </w:tcPr>
          <w:p w:rsidR="00E63D80" w:rsidRPr="00741A24" w:rsidRDefault="00E63D80" w:rsidP="001E10FD">
            <w:pPr>
              <w:ind w:left="-90" w:right="-1534"/>
            </w:pPr>
            <w:r w:rsidRPr="00741A24">
              <w:t>=</w:t>
            </w:r>
          </w:p>
        </w:tc>
        <w:tc>
          <w:tcPr>
            <w:tcW w:w="5652" w:type="dxa"/>
          </w:tcPr>
          <w:p w:rsidR="00E63D80" w:rsidRPr="00741A24" w:rsidRDefault="00E63D80" w:rsidP="001E10FD">
            <w:r w:rsidRPr="00741A24">
              <w:rPr>
                <w:rFonts w:eastAsia="TimesNewRoman"/>
              </w:rPr>
              <w:t>Monomer VOM emissions calculated using the monomer VOM emission equations for each operation included in the average, expressed in</w:t>
            </w:r>
            <w:r w:rsidR="00285B27">
              <w:rPr>
                <w:rFonts w:eastAsia="TimesNewRoman"/>
              </w:rPr>
              <w:t xml:space="preserve"> kg</w:t>
            </w:r>
            <w:r w:rsidR="0061548C">
              <w:rPr>
                <w:rFonts w:eastAsia="TimesNewRoman"/>
              </w:rPr>
              <w:t>;</w:t>
            </w:r>
          </w:p>
        </w:tc>
      </w:tr>
      <w:tr w:rsidR="00E63D80" w:rsidRPr="00741A24" w:rsidTr="001E10FD">
        <w:tblPrEx>
          <w:tblCellMar>
            <w:top w:w="0" w:type="dxa"/>
            <w:bottom w:w="0" w:type="dxa"/>
          </w:tblCellMar>
        </w:tblPrEx>
        <w:tc>
          <w:tcPr>
            <w:tcW w:w="7056" w:type="dxa"/>
            <w:gridSpan w:val="3"/>
          </w:tcPr>
          <w:p w:rsidR="00E63D80" w:rsidRPr="00741A24" w:rsidRDefault="00E63D80" w:rsidP="001E10FD">
            <w:pPr>
              <w:ind w:left="-90"/>
            </w:pPr>
          </w:p>
        </w:tc>
      </w:tr>
      <w:tr w:rsidR="00E63D80" w:rsidRPr="00741A24" w:rsidTr="001E10FD">
        <w:tblPrEx>
          <w:tblCellMar>
            <w:top w:w="0" w:type="dxa"/>
            <w:bottom w:w="0" w:type="dxa"/>
          </w:tblCellMar>
        </w:tblPrEx>
        <w:tc>
          <w:tcPr>
            <w:tcW w:w="1071" w:type="dxa"/>
          </w:tcPr>
          <w:p w:rsidR="00E63D80" w:rsidRPr="00741A24" w:rsidRDefault="00E63D80" w:rsidP="001E10FD">
            <w:r w:rsidRPr="00741A24">
              <w:rPr>
                <w:rFonts w:eastAsia="TimesNewRoman"/>
              </w:rPr>
              <w:t>PV</w:t>
            </w:r>
            <w:r w:rsidRPr="00741A24">
              <w:rPr>
                <w:rFonts w:eastAsia="TimesNewRoman"/>
                <w:vertAlign w:val="subscript"/>
              </w:rPr>
              <w:t>R</w:t>
            </w:r>
          </w:p>
        </w:tc>
        <w:tc>
          <w:tcPr>
            <w:tcW w:w="333" w:type="dxa"/>
          </w:tcPr>
          <w:p w:rsidR="00E63D80" w:rsidRPr="00741A24" w:rsidRDefault="00E63D80" w:rsidP="001E10FD">
            <w:pPr>
              <w:ind w:left="-90"/>
            </w:pPr>
            <w:r w:rsidRPr="00741A24">
              <w:t>=</w:t>
            </w:r>
          </w:p>
        </w:tc>
        <w:tc>
          <w:tcPr>
            <w:tcW w:w="5652" w:type="dxa"/>
          </w:tcPr>
          <w:p w:rsidR="00E63D80" w:rsidRPr="00741A24" w:rsidRDefault="00E63D80" w:rsidP="001E10FD">
            <w:r w:rsidRPr="00741A24">
              <w:rPr>
                <w:rFonts w:eastAsia="TimesNewRoman"/>
              </w:rPr>
              <w:t>Weighted-average monomer VOM emission rate for production resin used in the past 12 months, expressed in</w:t>
            </w:r>
            <w:r w:rsidR="00285B27">
              <w:rPr>
                <w:rFonts w:eastAsia="TimesNewRoman"/>
              </w:rPr>
              <w:t xml:space="preserve"> kg/Mg</w:t>
            </w:r>
            <w:r w:rsidRPr="00741A24">
              <w:rPr>
                <w:rFonts w:eastAsia="TimesNewRoman"/>
              </w:rPr>
              <w:t xml:space="preserve">, calculated in accordance with Equation 4 </w:t>
            </w:r>
            <w:r w:rsidR="0061548C">
              <w:rPr>
                <w:rFonts w:eastAsia="TimesNewRoman"/>
              </w:rPr>
              <w:t>in subsection (c)(3)</w:t>
            </w:r>
            <w:r w:rsidR="006969B5">
              <w:rPr>
                <w:rFonts w:eastAsia="TimesNewRoman"/>
              </w:rPr>
              <w:t>;</w:t>
            </w:r>
          </w:p>
        </w:tc>
      </w:tr>
      <w:tr w:rsidR="00E63D80" w:rsidRPr="00741A24" w:rsidTr="001E10FD">
        <w:tblPrEx>
          <w:tblCellMar>
            <w:top w:w="0" w:type="dxa"/>
            <w:bottom w:w="0" w:type="dxa"/>
          </w:tblCellMar>
        </w:tblPrEx>
        <w:tc>
          <w:tcPr>
            <w:tcW w:w="7056" w:type="dxa"/>
            <w:gridSpan w:val="3"/>
          </w:tcPr>
          <w:p w:rsidR="00E63D80" w:rsidRPr="00741A24" w:rsidRDefault="00E63D80" w:rsidP="001E10FD">
            <w:pPr>
              <w:ind w:left="-90"/>
            </w:pPr>
          </w:p>
        </w:tc>
      </w:tr>
      <w:tr w:rsidR="00E63D80" w:rsidRPr="00741A24" w:rsidTr="001E10FD">
        <w:tblPrEx>
          <w:tblCellMar>
            <w:top w:w="0" w:type="dxa"/>
            <w:bottom w:w="0" w:type="dxa"/>
          </w:tblCellMar>
        </w:tblPrEx>
        <w:tc>
          <w:tcPr>
            <w:tcW w:w="1071" w:type="dxa"/>
          </w:tcPr>
          <w:p w:rsidR="00E63D80" w:rsidRPr="00741A24" w:rsidRDefault="00E63D80" w:rsidP="001E10FD">
            <w:pPr>
              <w:ind w:right="-99"/>
            </w:pPr>
            <w:r w:rsidRPr="00741A24">
              <w:rPr>
                <w:rFonts w:eastAsia="TimesNewRoman"/>
              </w:rPr>
              <w:t>M</w:t>
            </w:r>
            <w:r w:rsidRPr="00741A24">
              <w:rPr>
                <w:rFonts w:eastAsia="TimesNewRoman"/>
                <w:vertAlign w:val="subscript"/>
              </w:rPr>
              <w:t>R</w:t>
            </w:r>
          </w:p>
        </w:tc>
        <w:tc>
          <w:tcPr>
            <w:tcW w:w="333" w:type="dxa"/>
          </w:tcPr>
          <w:p w:rsidR="00E63D80" w:rsidRPr="00741A24" w:rsidRDefault="00E63D80" w:rsidP="001E10FD">
            <w:pPr>
              <w:ind w:left="-90"/>
            </w:pPr>
            <w:r w:rsidRPr="00741A24">
              <w:t>=</w:t>
            </w:r>
          </w:p>
        </w:tc>
        <w:tc>
          <w:tcPr>
            <w:tcW w:w="5652" w:type="dxa"/>
          </w:tcPr>
          <w:p w:rsidR="00E63D80" w:rsidRPr="00741A24" w:rsidRDefault="00E63D80" w:rsidP="001E10FD">
            <w:r w:rsidRPr="00741A24">
              <w:rPr>
                <w:rFonts w:eastAsia="TimesNewRoman"/>
              </w:rPr>
              <w:t xml:space="preserve">Mass of production resin used in the past 12 months, expressed in </w:t>
            </w:r>
            <w:r w:rsidR="00285B27">
              <w:rPr>
                <w:rFonts w:eastAsia="TimesNewRoman"/>
              </w:rPr>
              <w:t>Mg;</w:t>
            </w:r>
          </w:p>
        </w:tc>
      </w:tr>
      <w:tr w:rsidR="00E63D80" w:rsidRPr="00741A24" w:rsidTr="001E10FD">
        <w:tblPrEx>
          <w:tblCellMar>
            <w:top w:w="0" w:type="dxa"/>
            <w:bottom w:w="0" w:type="dxa"/>
          </w:tblCellMar>
        </w:tblPrEx>
        <w:tc>
          <w:tcPr>
            <w:tcW w:w="7056" w:type="dxa"/>
            <w:gridSpan w:val="3"/>
          </w:tcPr>
          <w:p w:rsidR="00E63D80" w:rsidRPr="00741A24" w:rsidRDefault="00E63D80" w:rsidP="001E10FD">
            <w:pPr>
              <w:ind w:left="-90"/>
            </w:pPr>
          </w:p>
        </w:tc>
      </w:tr>
      <w:tr w:rsidR="00E63D80" w:rsidRPr="00741A24" w:rsidTr="001E10FD">
        <w:tblPrEx>
          <w:tblCellMar>
            <w:top w:w="0" w:type="dxa"/>
            <w:bottom w:w="0" w:type="dxa"/>
          </w:tblCellMar>
        </w:tblPrEx>
        <w:tc>
          <w:tcPr>
            <w:tcW w:w="1071" w:type="dxa"/>
          </w:tcPr>
          <w:p w:rsidR="00E63D80" w:rsidRPr="00741A24" w:rsidRDefault="00E63D80" w:rsidP="001E10FD">
            <w:pPr>
              <w:ind w:right="-81"/>
              <w:rPr>
                <w:vertAlign w:val="subscript"/>
              </w:rPr>
            </w:pPr>
            <w:r w:rsidRPr="00741A24">
              <w:rPr>
                <w:rFonts w:eastAsia="TimesNewRoman"/>
              </w:rPr>
              <w:t>PV</w:t>
            </w:r>
            <w:r w:rsidRPr="00741A24">
              <w:rPr>
                <w:rFonts w:eastAsia="TimesNewRoman"/>
                <w:vertAlign w:val="subscript"/>
              </w:rPr>
              <w:t>PG</w:t>
            </w:r>
          </w:p>
        </w:tc>
        <w:tc>
          <w:tcPr>
            <w:tcW w:w="333" w:type="dxa"/>
          </w:tcPr>
          <w:p w:rsidR="00E63D80" w:rsidRPr="00741A24" w:rsidRDefault="00E63D80" w:rsidP="001E10FD">
            <w:pPr>
              <w:ind w:left="-90"/>
            </w:pPr>
            <w:r w:rsidRPr="00741A24">
              <w:t>=</w:t>
            </w:r>
          </w:p>
        </w:tc>
        <w:tc>
          <w:tcPr>
            <w:tcW w:w="5652" w:type="dxa"/>
          </w:tcPr>
          <w:p w:rsidR="00E63D80" w:rsidRPr="00741A24" w:rsidRDefault="00E63D80" w:rsidP="001E10FD">
            <w:r w:rsidRPr="00741A24">
              <w:rPr>
                <w:rFonts w:eastAsia="TimesNewRoman"/>
              </w:rPr>
              <w:t>Weighted-average monomer VOM emission rate for pigmented gel coat used in the past 12 months, expressed in</w:t>
            </w:r>
            <w:r w:rsidR="00285B27">
              <w:rPr>
                <w:rFonts w:eastAsia="TimesNewRoman"/>
              </w:rPr>
              <w:t xml:space="preserve"> kg/Mg</w:t>
            </w:r>
            <w:r w:rsidRPr="00741A24">
              <w:rPr>
                <w:rFonts w:eastAsia="TimesNewRoman"/>
              </w:rPr>
              <w:t>, calculated pursuant to Equation 4</w:t>
            </w:r>
            <w:r w:rsidR="006969B5">
              <w:rPr>
                <w:rFonts w:eastAsia="TimesNewRoman"/>
              </w:rPr>
              <w:t>;</w:t>
            </w:r>
          </w:p>
        </w:tc>
      </w:tr>
      <w:tr w:rsidR="00E63D80" w:rsidRPr="00741A24" w:rsidTr="001E10FD">
        <w:tblPrEx>
          <w:tblCellMar>
            <w:top w:w="0" w:type="dxa"/>
            <w:bottom w:w="0" w:type="dxa"/>
          </w:tblCellMar>
        </w:tblPrEx>
        <w:tc>
          <w:tcPr>
            <w:tcW w:w="7056" w:type="dxa"/>
            <w:gridSpan w:val="3"/>
          </w:tcPr>
          <w:p w:rsidR="00E63D80" w:rsidRPr="00741A24" w:rsidRDefault="00E63D80" w:rsidP="001E10FD">
            <w:pPr>
              <w:rPr>
                <w:rFonts w:eastAsia="TimesNewRoman"/>
              </w:rPr>
            </w:pPr>
          </w:p>
        </w:tc>
      </w:tr>
      <w:tr w:rsidR="00E63D80" w:rsidRPr="00741A24" w:rsidTr="001E10FD">
        <w:tblPrEx>
          <w:tblCellMar>
            <w:top w:w="0" w:type="dxa"/>
            <w:bottom w:w="0" w:type="dxa"/>
          </w:tblCellMar>
        </w:tblPrEx>
        <w:tc>
          <w:tcPr>
            <w:tcW w:w="1071" w:type="dxa"/>
          </w:tcPr>
          <w:p w:rsidR="00E63D80" w:rsidRPr="00741A24" w:rsidRDefault="00E63D80" w:rsidP="001E10FD">
            <w:pPr>
              <w:ind w:right="-81"/>
            </w:pPr>
            <w:r w:rsidRPr="00741A24">
              <w:rPr>
                <w:rFonts w:eastAsia="TimesNewRoman"/>
              </w:rPr>
              <w:t>M</w:t>
            </w:r>
            <w:r w:rsidRPr="00741A24">
              <w:rPr>
                <w:rFonts w:eastAsia="TimesNewRoman"/>
                <w:vertAlign w:val="subscript"/>
              </w:rPr>
              <w:t>PG</w:t>
            </w:r>
          </w:p>
        </w:tc>
        <w:tc>
          <w:tcPr>
            <w:tcW w:w="333" w:type="dxa"/>
          </w:tcPr>
          <w:p w:rsidR="00E63D80" w:rsidRPr="00741A24" w:rsidRDefault="00E63D80" w:rsidP="001E10FD">
            <w:pPr>
              <w:ind w:left="-90"/>
            </w:pPr>
            <w:r w:rsidRPr="00741A24">
              <w:t>=</w:t>
            </w:r>
          </w:p>
        </w:tc>
        <w:tc>
          <w:tcPr>
            <w:tcW w:w="5652" w:type="dxa"/>
          </w:tcPr>
          <w:p w:rsidR="00E63D80" w:rsidRPr="00741A24" w:rsidRDefault="00E63D80" w:rsidP="001E10FD">
            <w:pPr>
              <w:rPr>
                <w:rFonts w:eastAsia="TimesNewRoman"/>
              </w:rPr>
            </w:pPr>
            <w:r w:rsidRPr="00741A24">
              <w:rPr>
                <w:rFonts w:eastAsia="TimesNewRoman"/>
              </w:rPr>
              <w:t xml:space="preserve">Mass of pigmented gel coat used in the past 12 months, expressed in </w:t>
            </w:r>
            <w:r w:rsidR="00285B27">
              <w:rPr>
                <w:rFonts w:eastAsia="TimesNewRoman"/>
              </w:rPr>
              <w:t>Mg;</w:t>
            </w:r>
          </w:p>
        </w:tc>
      </w:tr>
      <w:tr w:rsidR="00E63D80" w:rsidRPr="00741A24" w:rsidTr="001E10FD">
        <w:tblPrEx>
          <w:tblCellMar>
            <w:top w:w="0" w:type="dxa"/>
            <w:bottom w:w="0" w:type="dxa"/>
          </w:tblCellMar>
        </w:tblPrEx>
        <w:tc>
          <w:tcPr>
            <w:tcW w:w="1071" w:type="dxa"/>
          </w:tcPr>
          <w:p w:rsidR="00E63D80" w:rsidRPr="00741A24" w:rsidRDefault="00E63D80" w:rsidP="001E10FD">
            <w:pPr>
              <w:ind w:right="-81"/>
              <w:rPr>
                <w:rFonts w:eastAsia="TimesNewRoman"/>
              </w:rPr>
            </w:pPr>
          </w:p>
        </w:tc>
        <w:tc>
          <w:tcPr>
            <w:tcW w:w="333" w:type="dxa"/>
          </w:tcPr>
          <w:p w:rsidR="00E63D80" w:rsidRPr="00741A24" w:rsidRDefault="00E63D80" w:rsidP="001E10FD">
            <w:pPr>
              <w:ind w:left="-90"/>
            </w:pPr>
          </w:p>
        </w:tc>
        <w:tc>
          <w:tcPr>
            <w:tcW w:w="5652" w:type="dxa"/>
          </w:tcPr>
          <w:p w:rsidR="00E63D80" w:rsidRPr="00741A24" w:rsidRDefault="00E63D80" w:rsidP="001E10FD">
            <w:pPr>
              <w:rPr>
                <w:rFonts w:eastAsia="TimesNewRoman"/>
              </w:rPr>
            </w:pPr>
          </w:p>
        </w:tc>
      </w:tr>
      <w:tr w:rsidR="00E63D80" w:rsidRPr="00741A24" w:rsidTr="001E10FD">
        <w:tblPrEx>
          <w:tblCellMar>
            <w:top w:w="0" w:type="dxa"/>
            <w:bottom w:w="0" w:type="dxa"/>
          </w:tblCellMar>
        </w:tblPrEx>
        <w:tc>
          <w:tcPr>
            <w:tcW w:w="1071" w:type="dxa"/>
          </w:tcPr>
          <w:p w:rsidR="00E63D80" w:rsidRPr="00741A24" w:rsidRDefault="00E63D80" w:rsidP="001E10FD">
            <w:pPr>
              <w:ind w:right="-81"/>
              <w:rPr>
                <w:rFonts w:eastAsia="TimesNewRoman"/>
              </w:rPr>
            </w:pPr>
            <w:r w:rsidRPr="00741A24">
              <w:rPr>
                <w:rFonts w:eastAsia="TimesNewRoman"/>
              </w:rPr>
              <w:t>PV</w:t>
            </w:r>
            <w:r w:rsidRPr="00741A24">
              <w:rPr>
                <w:rFonts w:eastAsia="TimesNewRoman"/>
                <w:vertAlign w:val="subscript"/>
              </w:rPr>
              <w:t>CG</w:t>
            </w:r>
          </w:p>
        </w:tc>
        <w:tc>
          <w:tcPr>
            <w:tcW w:w="333" w:type="dxa"/>
          </w:tcPr>
          <w:p w:rsidR="00E63D80" w:rsidRPr="00741A24" w:rsidRDefault="00E63D80" w:rsidP="001E10FD">
            <w:pPr>
              <w:ind w:left="-90"/>
            </w:pPr>
            <w:r w:rsidRPr="00741A24">
              <w:t>=</w:t>
            </w:r>
          </w:p>
        </w:tc>
        <w:tc>
          <w:tcPr>
            <w:tcW w:w="5652" w:type="dxa"/>
          </w:tcPr>
          <w:p w:rsidR="00E63D80" w:rsidRPr="00741A24" w:rsidRDefault="00E63D80" w:rsidP="001E10FD">
            <w:pPr>
              <w:rPr>
                <w:rFonts w:eastAsia="TimesNewRoman"/>
              </w:rPr>
            </w:pPr>
            <w:r w:rsidRPr="00741A24">
              <w:rPr>
                <w:rFonts w:eastAsia="TimesNewRoman"/>
              </w:rPr>
              <w:t>Weighted-average monomer VOM emission rate for clear gel coat used in the past 12 months, expressed in</w:t>
            </w:r>
            <w:r w:rsidR="00285B27">
              <w:rPr>
                <w:rFonts w:eastAsia="TimesNewRoman"/>
              </w:rPr>
              <w:t xml:space="preserve"> kg/Mg</w:t>
            </w:r>
            <w:r w:rsidRPr="00741A24">
              <w:rPr>
                <w:rFonts w:eastAsia="TimesNewRoman"/>
              </w:rPr>
              <w:t>, calculated pursuant to Equation 4</w:t>
            </w:r>
            <w:r w:rsidR="00285B27">
              <w:rPr>
                <w:rFonts w:eastAsia="TimesNewRoman"/>
              </w:rPr>
              <w:t>;</w:t>
            </w:r>
          </w:p>
        </w:tc>
      </w:tr>
      <w:tr w:rsidR="00E63D80" w:rsidRPr="00741A24" w:rsidTr="001E10FD">
        <w:tblPrEx>
          <w:tblCellMar>
            <w:top w:w="0" w:type="dxa"/>
            <w:bottom w:w="0" w:type="dxa"/>
          </w:tblCellMar>
        </w:tblPrEx>
        <w:tc>
          <w:tcPr>
            <w:tcW w:w="1071" w:type="dxa"/>
          </w:tcPr>
          <w:p w:rsidR="00E63D80" w:rsidRPr="00741A24" w:rsidRDefault="00E63D80" w:rsidP="001E10FD">
            <w:pPr>
              <w:ind w:right="-81"/>
              <w:rPr>
                <w:rFonts w:eastAsia="TimesNewRoman"/>
              </w:rPr>
            </w:pPr>
          </w:p>
        </w:tc>
        <w:tc>
          <w:tcPr>
            <w:tcW w:w="333" w:type="dxa"/>
          </w:tcPr>
          <w:p w:rsidR="00E63D80" w:rsidRPr="00741A24" w:rsidRDefault="00E63D80" w:rsidP="001E10FD">
            <w:pPr>
              <w:ind w:left="-90"/>
            </w:pPr>
          </w:p>
        </w:tc>
        <w:tc>
          <w:tcPr>
            <w:tcW w:w="5652" w:type="dxa"/>
          </w:tcPr>
          <w:p w:rsidR="00E63D80" w:rsidRPr="00741A24" w:rsidRDefault="00E63D80" w:rsidP="001E10FD">
            <w:pPr>
              <w:rPr>
                <w:rFonts w:eastAsia="TimesNewRoman"/>
              </w:rPr>
            </w:pPr>
          </w:p>
        </w:tc>
      </w:tr>
      <w:tr w:rsidR="00E63D80" w:rsidRPr="00741A24" w:rsidTr="001E10FD">
        <w:tblPrEx>
          <w:tblCellMar>
            <w:top w:w="0" w:type="dxa"/>
            <w:bottom w:w="0" w:type="dxa"/>
          </w:tblCellMar>
        </w:tblPrEx>
        <w:tc>
          <w:tcPr>
            <w:tcW w:w="1071" w:type="dxa"/>
          </w:tcPr>
          <w:p w:rsidR="00E63D80" w:rsidRPr="00741A24" w:rsidRDefault="00E63D80" w:rsidP="001E10FD">
            <w:pPr>
              <w:ind w:right="-81"/>
              <w:rPr>
                <w:rFonts w:eastAsia="TimesNewRoman"/>
              </w:rPr>
            </w:pPr>
            <w:r w:rsidRPr="00741A24">
              <w:rPr>
                <w:rFonts w:eastAsia="TimesNewRoman"/>
              </w:rPr>
              <w:t>M</w:t>
            </w:r>
            <w:r w:rsidRPr="00741A24">
              <w:rPr>
                <w:rFonts w:eastAsia="TimesNewRoman"/>
                <w:vertAlign w:val="subscript"/>
              </w:rPr>
              <w:t>CG</w:t>
            </w:r>
          </w:p>
        </w:tc>
        <w:tc>
          <w:tcPr>
            <w:tcW w:w="333" w:type="dxa"/>
          </w:tcPr>
          <w:p w:rsidR="00E63D80" w:rsidRPr="00741A24" w:rsidRDefault="00527F92" w:rsidP="001E10FD">
            <w:pPr>
              <w:ind w:left="-90"/>
            </w:pPr>
            <w:r>
              <w:t>=</w:t>
            </w:r>
          </w:p>
        </w:tc>
        <w:tc>
          <w:tcPr>
            <w:tcW w:w="5652" w:type="dxa"/>
          </w:tcPr>
          <w:p w:rsidR="00E63D80" w:rsidRPr="00741A24" w:rsidRDefault="00E63D80" w:rsidP="001E10FD">
            <w:pPr>
              <w:rPr>
                <w:rFonts w:eastAsia="TimesNewRoman"/>
              </w:rPr>
            </w:pPr>
            <w:r w:rsidRPr="00741A24">
              <w:rPr>
                <w:rFonts w:eastAsia="TimesNewRoman"/>
              </w:rPr>
              <w:t xml:space="preserve">Mass of clear gel coat used in the past 12 months, expressed in </w:t>
            </w:r>
            <w:r w:rsidR="00773707">
              <w:rPr>
                <w:rFonts w:eastAsia="TimesNewRoman"/>
              </w:rPr>
              <w:t>Mg;</w:t>
            </w:r>
          </w:p>
        </w:tc>
      </w:tr>
      <w:tr w:rsidR="00E63D80" w:rsidRPr="00741A24" w:rsidTr="001E10FD">
        <w:tblPrEx>
          <w:tblCellMar>
            <w:top w:w="0" w:type="dxa"/>
            <w:bottom w:w="0" w:type="dxa"/>
          </w:tblCellMar>
        </w:tblPrEx>
        <w:tc>
          <w:tcPr>
            <w:tcW w:w="1071" w:type="dxa"/>
          </w:tcPr>
          <w:p w:rsidR="00E63D80" w:rsidRPr="00741A24" w:rsidRDefault="00E63D80" w:rsidP="001E10FD">
            <w:pPr>
              <w:ind w:right="-81"/>
              <w:rPr>
                <w:rFonts w:eastAsia="TimesNewRoman"/>
              </w:rPr>
            </w:pPr>
          </w:p>
        </w:tc>
        <w:tc>
          <w:tcPr>
            <w:tcW w:w="333" w:type="dxa"/>
          </w:tcPr>
          <w:p w:rsidR="00E63D80" w:rsidRPr="00741A24" w:rsidRDefault="00E63D80" w:rsidP="001E10FD">
            <w:pPr>
              <w:ind w:left="-90"/>
            </w:pPr>
          </w:p>
        </w:tc>
        <w:tc>
          <w:tcPr>
            <w:tcW w:w="5652" w:type="dxa"/>
          </w:tcPr>
          <w:p w:rsidR="00E63D80" w:rsidRPr="00741A24" w:rsidRDefault="00E63D80" w:rsidP="001E10FD">
            <w:pPr>
              <w:rPr>
                <w:rFonts w:eastAsia="TimesNewRoman"/>
              </w:rPr>
            </w:pPr>
          </w:p>
        </w:tc>
      </w:tr>
      <w:tr w:rsidR="00E63D80" w:rsidRPr="00741A24" w:rsidTr="001E10FD">
        <w:tblPrEx>
          <w:tblCellMar>
            <w:top w:w="0" w:type="dxa"/>
            <w:bottom w:w="0" w:type="dxa"/>
          </w:tblCellMar>
        </w:tblPrEx>
        <w:tc>
          <w:tcPr>
            <w:tcW w:w="1071" w:type="dxa"/>
          </w:tcPr>
          <w:p w:rsidR="00E63D80" w:rsidRPr="00741A24" w:rsidRDefault="00E63D80" w:rsidP="001E10FD">
            <w:pPr>
              <w:ind w:right="-81"/>
              <w:rPr>
                <w:rFonts w:eastAsia="TimesNewRoman"/>
              </w:rPr>
            </w:pPr>
            <w:r w:rsidRPr="00741A24">
              <w:rPr>
                <w:rFonts w:eastAsia="TimesNewRoman"/>
              </w:rPr>
              <w:t>PV</w:t>
            </w:r>
            <w:r w:rsidRPr="00741A24">
              <w:rPr>
                <w:rFonts w:eastAsia="TimesNewRoman"/>
                <w:vertAlign w:val="subscript"/>
              </w:rPr>
              <w:t>TR</w:t>
            </w:r>
          </w:p>
        </w:tc>
        <w:tc>
          <w:tcPr>
            <w:tcW w:w="333" w:type="dxa"/>
          </w:tcPr>
          <w:p w:rsidR="00E63D80" w:rsidRPr="00741A24" w:rsidRDefault="00527F92" w:rsidP="001E10FD">
            <w:pPr>
              <w:ind w:left="-90"/>
            </w:pPr>
            <w:r>
              <w:t>=</w:t>
            </w:r>
          </w:p>
        </w:tc>
        <w:tc>
          <w:tcPr>
            <w:tcW w:w="5652" w:type="dxa"/>
          </w:tcPr>
          <w:p w:rsidR="00E63D80" w:rsidRPr="00741A24" w:rsidRDefault="00E63D80" w:rsidP="001E10FD">
            <w:pPr>
              <w:rPr>
                <w:rFonts w:eastAsia="TimesNewRoman"/>
              </w:rPr>
            </w:pPr>
            <w:r w:rsidRPr="00741A24">
              <w:rPr>
                <w:rFonts w:eastAsia="TimesNewRoman"/>
              </w:rPr>
              <w:t>Weighted-average monomer VOM emission rate for tooling resin used in the past 12 months, expressed in</w:t>
            </w:r>
            <w:r w:rsidR="00773707">
              <w:rPr>
                <w:rFonts w:eastAsia="TimesNewRoman"/>
              </w:rPr>
              <w:t xml:space="preserve"> kg/Mg</w:t>
            </w:r>
            <w:r w:rsidRPr="00741A24">
              <w:rPr>
                <w:rFonts w:eastAsia="TimesNewRoman"/>
              </w:rPr>
              <w:t>, calculated pursuant to Equation 4</w:t>
            </w:r>
            <w:r w:rsidR="00773707">
              <w:rPr>
                <w:rFonts w:eastAsia="TimesNewRoman"/>
              </w:rPr>
              <w:t>;</w:t>
            </w:r>
          </w:p>
        </w:tc>
      </w:tr>
      <w:tr w:rsidR="00E63D80" w:rsidRPr="00741A24" w:rsidTr="001E10FD">
        <w:tblPrEx>
          <w:tblCellMar>
            <w:top w:w="0" w:type="dxa"/>
            <w:bottom w:w="0" w:type="dxa"/>
          </w:tblCellMar>
        </w:tblPrEx>
        <w:tc>
          <w:tcPr>
            <w:tcW w:w="1071" w:type="dxa"/>
          </w:tcPr>
          <w:p w:rsidR="00E63D80" w:rsidRPr="00741A24" w:rsidRDefault="00E63D80" w:rsidP="001E10FD">
            <w:pPr>
              <w:ind w:right="-81"/>
              <w:rPr>
                <w:rFonts w:eastAsia="TimesNewRoman"/>
              </w:rPr>
            </w:pPr>
          </w:p>
        </w:tc>
        <w:tc>
          <w:tcPr>
            <w:tcW w:w="333" w:type="dxa"/>
          </w:tcPr>
          <w:p w:rsidR="00E63D80" w:rsidRPr="00741A24" w:rsidRDefault="00E63D80" w:rsidP="001E10FD">
            <w:pPr>
              <w:ind w:left="-90"/>
            </w:pPr>
          </w:p>
        </w:tc>
        <w:tc>
          <w:tcPr>
            <w:tcW w:w="5652" w:type="dxa"/>
          </w:tcPr>
          <w:p w:rsidR="00E63D80" w:rsidRPr="00741A24" w:rsidRDefault="00E63D80" w:rsidP="001E10FD">
            <w:pPr>
              <w:rPr>
                <w:rFonts w:eastAsia="TimesNewRoman"/>
              </w:rPr>
            </w:pPr>
          </w:p>
        </w:tc>
      </w:tr>
      <w:tr w:rsidR="00E63D80" w:rsidRPr="00741A24" w:rsidTr="001E10FD">
        <w:tblPrEx>
          <w:tblCellMar>
            <w:top w:w="0" w:type="dxa"/>
            <w:bottom w:w="0" w:type="dxa"/>
          </w:tblCellMar>
        </w:tblPrEx>
        <w:tc>
          <w:tcPr>
            <w:tcW w:w="1071" w:type="dxa"/>
          </w:tcPr>
          <w:p w:rsidR="00E63D80" w:rsidRPr="00741A24" w:rsidRDefault="00E63D80" w:rsidP="001E10FD">
            <w:pPr>
              <w:ind w:right="-81"/>
              <w:rPr>
                <w:rFonts w:eastAsia="TimesNewRoman"/>
              </w:rPr>
            </w:pPr>
            <w:r w:rsidRPr="00741A24">
              <w:rPr>
                <w:rFonts w:eastAsia="TimesNewRoman"/>
              </w:rPr>
              <w:t>M</w:t>
            </w:r>
            <w:r w:rsidRPr="00741A24">
              <w:rPr>
                <w:rFonts w:eastAsia="TimesNewRoman"/>
                <w:vertAlign w:val="subscript"/>
              </w:rPr>
              <w:t>TR</w:t>
            </w:r>
          </w:p>
        </w:tc>
        <w:tc>
          <w:tcPr>
            <w:tcW w:w="333" w:type="dxa"/>
          </w:tcPr>
          <w:p w:rsidR="00E63D80" w:rsidRPr="00741A24" w:rsidRDefault="00527F92" w:rsidP="001E10FD">
            <w:pPr>
              <w:ind w:left="-90"/>
            </w:pPr>
            <w:r>
              <w:t>=</w:t>
            </w:r>
          </w:p>
        </w:tc>
        <w:tc>
          <w:tcPr>
            <w:tcW w:w="5652" w:type="dxa"/>
          </w:tcPr>
          <w:p w:rsidR="00E63D80" w:rsidRPr="00741A24" w:rsidRDefault="00E63D80" w:rsidP="001E10FD">
            <w:pPr>
              <w:rPr>
                <w:rFonts w:eastAsia="TimesNewRoman"/>
              </w:rPr>
            </w:pPr>
            <w:r w:rsidRPr="00741A24">
              <w:rPr>
                <w:rFonts w:eastAsia="TimesNewRoman"/>
              </w:rPr>
              <w:t xml:space="preserve">Mass of tooling resin used in the past 12 months, expressed in </w:t>
            </w:r>
            <w:r w:rsidR="00773707">
              <w:rPr>
                <w:rFonts w:eastAsia="TimesNewRoman"/>
              </w:rPr>
              <w:t>Mg;</w:t>
            </w:r>
          </w:p>
        </w:tc>
      </w:tr>
      <w:tr w:rsidR="00E63D80" w:rsidRPr="00741A24" w:rsidTr="001E10FD">
        <w:tblPrEx>
          <w:tblCellMar>
            <w:top w:w="0" w:type="dxa"/>
            <w:bottom w:w="0" w:type="dxa"/>
          </w:tblCellMar>
        </w:tblPrEx>
        <w:tc>
          <w:tcPr>
            <w:tcW w:w="1071" w:type="dxa"/>
          </w:tcPr>
          <w:p w:rsidR="00E63D80" w:rsidRPr="00741A24" w:rsidRDefault="00E63D80" w:rsidP="001E10FD">
            <w:pPr>
              <w:ind w:right="-81"/>
              <w:rPr>
                <w:rFonts w:eastAsia="TimesNewRoman"/>
              </w:rPr>
            </w:pPr>
          </w:p>
        </w:tc>
        <w:tc>
          <w:tcPr>
            <w:tcW w:w="333" w:type="dxa"/>
          </w:tcPr>
          <w:p w:rsidR="00E63D80" w:rsidRPr="00741A24" w:rsidRDefault="00E63D80" w:rsidP="001E10FD">
            <w:pPr>
              <w:ind w:left="-90"/>
            </w:pPr>
          </w:p>
        </w:tc>
        <w:tc>
          <w:tcPr>
            <w:tcW w:w="5652" w:type="dxa"/>
          </w:tcPr>
          <w:p w:rsidR="00E63D80" w:rsidRPr="00741A24" w:rsidRDefault="00E63D80" w:rsidP="001E10FD">
            <w:pPr>
              <w:rPr>
                <w:rFonts w:eastAsia="TimesNewRoman"/>
              </w:rPr>
            </w:pPr>
          </w:p>
        </w:tc>
      </w:tr>
      <w:tr w:rsidR="00E63D80" w:rsidRPr="00741A24" w:rsidTr="001E10FD">
        <w:tblPrEx>
          <w:tblCellMar>
            <w:top w:w="0" w:type="dxa"/>
            <w:bottom w:w="0" w:type="dxa"/>
          </w:tblCellMar>
        </w:tblPrEx>
        <w:tc>
          <w:tcPr>
            <w:tcW w:w="1071" w:type="dxa"/>
          </w:tcPr>
          <w:p w:rsidR="00E63D80" w:rsidRPr="00741A24" w:rsidRDefault="00E63D80" w:rsidP="001E10FD">
            <w:pPr>
              <w:ind w:right="-81"/>
              <w:rPr>
                <w:rFonts w:eastAsia="TimesNewRoman"/>
              </w:rPr>
            </w:pPr>
            <w:r w:rsidRPr="00741A24">
              <w:rPr>
                <w:rFonts w:eastAsia="TimesNewRoman"/>
              </w:rPr>
              <w:t>PV</w:t>
            </w:r>
            <w:r w:rsidRPr="00741A24">
              <w:rPr>
                <w:rFonts w:eastAsia="TimesNewRoman"/>
                <w:vertAlign w:val="subscript"/>
              </w:rPr>
              <w:t>TG</w:t>
            </w:r>
          </w:p>
        </w:tc>
        <w:tc>
          <w:tcPr>
            <w:tcW w:w="333" w:type="dxa"/>
          </w:tcPr>
          <w:p w:rsidR="00E63D80" w:rsidRPr="00741A24" w:rsidRDefault="00527F92" w:rsidP="001E10FD">
            <w:pPr>
              <w:ind w:left="-90"/>
            </w:pPr>
            <w:r>
              <w:t>=</w:t>
            </w:r>
          </w:p>
        </w:tc>
        <w:tc>
          <w:tcPr>
            <w:tcW w:w="5652" w:type="dxa"/>
          </w:tcPr>
          <w:p w:rsidR="00E63D80" w:rsidRPr="00741A24" w:rsidRDefault="00E63D80" w:rsidP="001E10FD">
            <w:pPr>
              <w:rPr>
                <w:rFonts w:eastAsia="TimesNewRoman"/>
              </w:rPr>
            </w:pPr>
            <w:r w:rsidRPr="00741A24">
              <w:rPr>
                <w:rFonts w:eastAsia="TimesNewRoman"/>
              </w:rPr>
              <w:t>Weighted-average monomer VOM emission rate for tooling gel coat used in the past 12 months, expressed in</w:t>
            </w:r>
            <w:r w:rsidR="00773707">
              <w:rPr>
                <w:rFonts w:eastAsia="TimesNewRoman"/>
              </w:rPr>
              <w:t xml:space="preserve"> kg/Mg</w:t>
            </w:r>
            <w:r w:rsidRPr="00741A24">
              <w:rPr>
                <w:rFonts w:eastAsia="TimesNewRoman"/>
              </w:rPr>
              <w:t>, calculated pursuant to Equation 4</w:t>
            </w:r>
            <w:r w:rsidR="00773707">
              <w:rPr>
                <w:rFonts w:eastAsia="TimesNewRoman"/>
              </w:rPr>
              <w:t>;</w:t>
            </w:r>
          </w:p>
        </w:tc>
      </w:tr>
      <w:tr w:rsidR="00E63D80" w:rsidRPr="00741A24" w:rsidTr="001E10FD">
        <w:tblPrEx>
          <w:tblCellMar>
            <w:top w:w="0" w:type="dxa"/>
            <w:bottom w:w="0" w:type="dxa"/>
          </w:tblCellMar>
        </w:tblPrEx>
        <w:tc>
          <w:tcPr>
            <w:tcW w:w="1071" w:type="dxa"/>
          </w:tcPr>
          <w:p w:rsidR="00E63D80" w:rsidRPr="00741A24" w:rsidRDefault="00E63D80" w:rsidP="001E10FD">
            <w:pPr>
              <w:ind w:right="-81"/>
              <w:rPr>
                <w:rFonts w:eastAsia="TimesNewRoman"/>
              </w:rPr>
            </w:pPr>
          </w:p>
        </w:tc>
        <w:tc>
          <w:tcPr>
            <w:tcW w:w="333" w:type="dxa"/>
          </w:tcPr>
          <w:p w:rsidR="00E63D80" w:rsidRPr="00741A24" w:rsidRDefault="00E63D80" w:rsidP="001E10FD">
            <w:pPr>
              <w:ind w:left="-90"/>
            </w:pPr>
          </w:p>
        </w:tc>
        <w:tc>
          <w:tcPr>
            <w:tcW w:w="5652" w:type="dxa"/>
          </w:tcPr>
          <w:p w:rsidR="00E63D80" w:rsidRPr="00741A24" w:rsidRDefault="00E63D80" w:rsidP="001E10FD">
            <w:pPr>
              <w:rPr>
                <w:rFonts w:eastAsia="TimesNewRoman"/>
              </w:rPr>
            </w:pPr>
          </w:p>
        </w:tc>
      </w:tr>
      <w:tr w:rsidR="00E63D80" w:rsidRPr="00741A24" w:rsidTr="001E10FD">
        <w:tblPrEx>
          <w:tblCellMar>
            <w:top w:w="0" w:type="dxa"/>
            <w:bottom w:w="0" w:type="dxa"/>
          </w:tblCellMar>
        </w:tblPrEx>
        <w:tc>
          <w:tcPr>
            <w:tcW w:w="1071" w:type="dxa"/>
          </w:tcPr>
          <w:p w:rsidR="00E63D80" w:rsidRPr="00741A24" w:rsidRDefault="00E63D80" w:rsidP="001E10FD">
            <w:pPr>
              <w:ind w:right="-81"/>
              <w:rPr>
                <w:rFonts w:eastAsia="TimesNewRoman"/>
              </w:rPr>
            </w:pPr>
            <w:r w:rsidRPr="00741A24">
              <w:rPr>
                <w:rFonts w:eastAsia="TimesNewRoman"/>
              </w:rPr>
              <w:t>M</w:t>
            </w:r>
            <w:r w:rsidRPr="00741A24">
              <w:rPr>
                <w:rFonts w:eastAsia="TimesNewRoman"/>
                <w:vertAlign w:val="subscript"/>
              </w:rPr>
              <w:t>TG</w:t>
            </w:r>
          </w:p>
        </w:tc>
        <w:tc>
          <w:tcPr>
            <w:tcW w:w="333" w:type="dxa"/>
          </w:tcPr>
          <w:p w:rsidR="00E63D80" w:rsidRPr="00741A24" w:rsidRDefault="00527F92" w:rsidP="001E10FD">
            <w:pPr>
              <w:ind w:left="-90"/>
            </w:pPr>
            <w:r>
              <w:t>=</w:t>
            </w:r>
          </w:p>
        </w:tc>
        <w:tc>
          <w:tcPr>
            <w:tcW w:w="5652" w:type="dxa"/>
          </w:tcPr>
          <w:p w:rsidR="00E63D80" w:rsidRPr="00741A24" w:rsidRDefault="00E63D80" w:rsidP="001E10FD">
            <w:pPr>
              <w:rPr>
                <w:rFonts w:eastAsia="TimesNewRoman"/>
              </w:rPr>
            </w:pPr>
            <w:r w:rsidRPr="00741A24">
              <w:rPr>
                <w:rFonts w:eastAsia="TimesNewRoman"/>
              </w:rPr>
              <w:t>Mass of tooling gel coat used in the past 12 months, expressed in</w:t>
            </w:r>
            <w:r w:rsidR="00773707">
              <w:rPr>
                <w:rFonts w:eastAsia="TimesNewRoman"/>
              </w:rPr>
              <w:t xml:space="preserve"> Mg</w:t>
            </w:r>
            <w:r w:rsidRPr="00741A24">
              <w:rPr>
                <w:rFonts w:eastAsia="TimesNewRoman"/>
              </w:rPr>
              <w:t>.</w:t>
            </w:r>
          </w:p>
        </w:tc>
      </w:tr>
    </w:tbl>
    <w:p w:rsidR="006C2BE8" w:rsidRPr="00741A24" w:rsidRDefault="006C2BE8" w:rsidP="006C2BE8">
      <w:pPr>
        <w:ind w:left="1440" w:hanging="1440"/>
        <w:rPr>
          <w:rFonts w:eastAsia="TimesNewRoman"/>
        </w:rPr>
      </w:pPr>
    </w:p>
    <w:p w:rsidR="006C2BE8" w:rsidRPr="00741A24" w:rsidRDefault="006C2BE8" w:rsidP="006C2BE8">
      <w:pPr>
        <w:ind w:left="2160" w:hanging="720"/>
        <w:rPr>
          <w:rFonts w:eastAsia="TimesNewRoman"/>
        </w:rPr>
      </w:pPr>
      <w:r w:rsidRPr="00741A24">
        <w:rPr>
          <w:rFonts w:eastAsia="TimesNewRoman"/>
        </w:rPr>
        <w:t>3)</w:t>
      </w:r>
      <w:r w:rsidRPr="00741A24">
        <w:rPr>
          <w:rFonts w:eastAsia="TimesNewRoman"/>
        </w:rPr>
        <w:tab/>
        <w:t>For purposes of Equation 3, the owner or operator of a source subject to this subsection (c) shall use Equation 4 below to calculate the weighted-average monomer VOM emission rate for the previous 12 months for each resin and gel coat operation included in the emissions average, except as</w:t>
      </w:r>
      <w:r w:rsidRPr="00741A24">
        <w:t xml:space="preserve"> provided in subsection (e) of this Section.</w:t>
      </w:r>
    </w:p>
    <w:p w:rsidR="006C2BE8" w:rsidRPr="00741A24" w:rsidRDefault="006C2BE8" w:rsidP="006C2BE8">
      <w:pPr>
        <w:ind w:left="2160" w:hanging="720"/>
        <w:rPr>
          <w:rFonts w:eastAsia="TimesNewRoman"/>
        </w:rPr>
      </w:pPr>
    </w:p>
    <w:p w:rsidR="006C2BE8" w:rsidRPr="00741A24" w:rsidRDefault="006C2BE8" w:rsidP="006C2BE8">
      <w:pPr>
        <w:ind w:left="1440" w:firstLine="720"/>
        <w:rPr>
          <w:rFonts w:eastAsia="TimesNewRoman"/>
        </w:rPr>
      </w:pPr>
      <w:r w:rsidRPr="00741A24">
        <w:rPr>
          <w:rFonts w:eastAsia="TimesNewRoman"/>
        </w:rPr>
        <w:t>Equation 4:</w:t>
      </w:r>
    </w:p>
    <w:p w:rsidR="006C2BE8" w:rsidRPr="00741A24" w:rsidRDefault="006C2BE8" w:rsidP="006C2BE8">
      <w:pPr>
        <w:ind w:left="1440" w:firstLine="720"/>
        <w:rPr>
          <w:rFonts w:eastAsia="TimesNewRoman"/>
        </w:rPr>
      </w:pPr>
    </w:p>
    <w:p w:rsidR="00DC5B52" w:rsidRPr="00741A24" w:rsidRDefault="0061548C" w:rsidP="0061548C">
      <w:pPr>
        <w:ind w:left="2880" w:firstLine="1503"/>
        <w:rPr>
          <w:rFonts w:eastAsia="TimesNewRoman"/>
        </w:rPr>
      </w:pPr>
      <w:r w:rsidRPr="00741A24">
        <w:rPr>
          <w:rFonts w:eastAsia="TimesNewRoman"/>
          <w:position w:val="-60"/>
        </w:rPr>
        <w:object w:dxaOrig="1860" w:dyaOrig="1320">
          <v:shape id="_x0000_i1029" type="#_x0000_t75" style="width:93pt;height:66pt" o:ole="">
            <v:imagedata r:id="rId15" o:title=""/>
          </v:shape>
          <o:OLEObject Type="Embed" ProgID="Equation.3" ShapeID="_x0000_i1029" DrawAspect="Content" ObjectID="_1401799986" r:id="rId16"/>
        </w:object>
      </w:r>
    </w:p>
    <w:p w:rsidR="00E63D80" w:rsidRPr="00741A24" w:rsidRDefault="00E63D80" w:rsidP="006C2BE8">
      <w:pPr>
        <w:ind w:left="1440" w:firstLine="720"/>
        <w:rPr>
          <w:rFonts w:eastAsia="TimesNewRoman"/>
        </w:rPr>
      </w:pPr>
    </w:p>
    <w:p w:rsidR="006C2BE8" w:rsidRPr="00741A24" w:rsidRDefault="00773707" w:rsidP="006C2BE8">
      <w:pPr>
        <w:ind w:left="1440" w:firstLine="720"/>
        <w:rPr>
          <w:rFonts w:eastAsia="TimesNewRoman"/>
        </w:rPr>
      </w:pPr>
      <w:r>
        <w:rPr>
          <w:rFonts w:eastAsia="TimesNewRoman"/>
        </w:rPr>
        <w:t>w</w:t>
      </w:r>
      <w:r w:rsidR="006C2BE8" w:rsidRPr="00741A24">
        <w:rPr>
          <w:rFonts w:eastAsia="TimesNewRoman"/>
        </w:rPr>
        <w:t>here:</w:t>
      </w:r>
    </w:p>
    <w:p w:rsidR="006C2BE8" w:rsidRPr="00741A24" w:rsidRDefault="006C2BE8" w:rsidP="006C2BE8">
      <w:pPr>
        <w:rPr>
          <w:rFonts w:eastAsia="TimesNewRoman"/>
        </w:rPr>
      </w:pPr>
    </w:p>
    <w:tbl>
      <w:tblPr>
        <w:tblW w:w="7056" w:type="dxa"/>
        <w:tblInd w:w="2502" w:type="dxa"/>
        <w:tblLayout w:type="fixed"/>
        <w:tblLook w:val="0000" w:firstRow="0" w:lastRow="0" w:firstColumn="0" w:lastColumn="0" w:noHBand="0" w:noVBand="0"/>
      </w:tblPr>
      <w:tblGrid>
        <w:gridCol w:w="693"/>
        <w:gridCol w:w="243"/>
        <w:gridCol w:w="6120"/>
      </w:tblGrid>
      <w:tr w:rsidR="00E63D80" w:rsidRPr="00741A24" w:rsidTr="00527F92">
        <w:tblPrEx>
          <w:tblCellMar>
            <w:top w:w="0" w:type="dxa"/>
            <w:bottom w:w="0" w:type="dxa"/>
          </w:tblCellMar>
        </w:tblPrEx>
        <w:tc>
          <w:tcPr>
            <w:tcW w:w="693" w:type="dxa"/>
          </w:tcPr>
          <w:p w:rsidR="00E63D80" w:rsidRPr="00741A24" w:rsidRDefault="00E63D80" w:rsidP="001E10FD">
            <w:pPr>
              <w:ind w:left="-51" w:right="-118"/>
              <w:rPr>
                <w:vertAlign w:val="subscript"/>
              </w:rPr>
            </w:pPr>
            <w:r w:rsidRPr="00741A24">
              <w:rPr>
                <w:rFonts w:eastAsia="TimesNewRoman"/>
              </w:rPr>
              <w:t>PV</w:t>
            </w:r>
            <w:r w:rsidRPr="00741A24">
              <w:rPr>
                <w:rFonts w:eastAsia="TimesNewRoman"/>
                <w:vertAlign w:val="subscript"/>
              </w:rPr>
              <w:t>OP</w:t>
            </w:r>
          </w:p>
        </w:tc>
        <w:tc>
          <w:tcPr>
            <w:tcW w:w="243" w:type="dxa"/>
          </w:tcPr>
          <w:p w:rsidR="00E63D80" w:rsidRPr="00741A24" w:rsidRDefault="00527F92" w:rsidP="001E10FD">
            <w:pPr>
              <w:ind w:left="-90" w:right="-1534"/>
            </w:pPr>
            <w:r>
              <w:t>=</w:t>
            </w:r>
          </w:p>
        </w:tc>
        <w:tc>
          <w:tcPr>
            <w:tcW w:w="6120" w:type="dxa"/>
          </w:tcPr>
          <w:p w:rsidR="00E63D80" w:rsidRPr="00741A24" w:rsidRDefault="00E63D80" w:rsidP="001E10FD">
            <w:r w:rsidRPr="00741A24">
              <w:rPr>
                <w:rFonts w:eastAsia="TimesNewRoman"/>
              </w:rPr>
              <w:t>Weighted-average monomer VOM emission rate for each open molding operation (</w:t>
            </w:r>
            <w:smartTag w:uri="urn:schemas-microsoft-com:office:smarttags" w:element="stockticker">
              <w:r w:rsidRPr="00741A24">
                <w:rPr>
                  <w:rFonts w:eastAsia="TimesNewRoman"/>
                </w:rPr>
                <w:t>PV</w:t>
              </w:r>
              <w:r w:rsidRPr="00773707">
                <w:rPr>
                  <w:rFonts w:eastAsia="TimesNewRoman"/>
                  <w:vertAlign w:val="subscript"/>
                </w:rPr>
                <w:t>R</w:t>
              </w:r>
            </w:smartTag>
            <w:r w:rsidRPr="00741A24">
              <w:rPr>
                <w:rFonts w:eastAsia="TimesNewRoman"/>
              </w:rPr>
              <w:t>, PV</w:t>
            </w:r>
            <w:r w:rsidRPr="00773707">
              <w:rPr>
                <w:rFonts w:eastAsia="TimesNewRoman"/>
                <w:vertAlign w:val="subscript"/>
              </w:rPr>
              <w:t>PG</w:t>
            </w:r>
            <w:r w:rsidRPr="00741A24">
              <w:rPr>
                <w:rFonts w:eastAsia="TimesNewRoman"/>
              </w:rPr>
              <w:t>, PV</w:t>
            </w:r>
            <w:r w:rsidRPr="00773707">
              <w:rPr>
                <w:rFonts w:eastAsia="TimesNewRoman"/>
                <w:vertAlign w:val="subscript"/>
              </w:rPr>
              <w:t>CG</w:t>
            </w:r>
            <w:r w:rsidRPr="00741A24">
              <w:rPr>
                <w:rFonts w:eastAsia="TimesNewRoman"/>
              </w:rPr>
              <w:t>, PV</w:t>
            </w:r>
            <w:r w:rsidRPr="00773707">
              <w:rPr>
                <w:rFonts w:eastAsia="TimesNewRoman"/>
                <w:vertAlign w:val="subscript"/>
              </w:rPr>
              <w:t>TR</w:t>
            </w:r>
            <w:r w:rsidRPr="00741A24">
              <w:rPr>
                <w:rFonts w:eastAsia="TimesNewRoman"/>
              </w:rPr>
              <w:t>, and PV</w:t>
            </w:r>
            <w:r w:rsidRPr="00773707">
              <w:rPr>
                <w:rFonts w:eastAsia="TimesNewRoman"/>
                <w:vertAlign w:val="subscript"/>
              </w:rPr>
              <w:t>TG</w:t>
            </w:r>
            <w:r w:rsidRPr="00741A24">
              <w:rPr>
                <w:rFonts w:eastAsia="TimesNewRoman"/>
              </w:rPr>
              <w:t xml:space="preserve">) included in the average, expressed in </w:t>
            </w:r>
            <w:r w:rsidR="00773707">
              <w:rPr>
                <w:rFonts w:eastAsia="TimesNewRoman"/>
              </w:rPr>
              <w:t xml:space="preserve">kg </w:t>
            </w:r>
            <w:r w:rsidRPr="00741A24">
              <w:rPr>
                <w:rFonts w:eastAsia="TimesNewRoman"/>
              </w:rPr>
              <w:t xml:space="preserve">of monomer VOM per </w:t>
            </w:r>
            <w:r w:rsidR="00773707">
              <w:rPr>
                <w:rFonts w:eastAsia="TimesNewRoman"/>
              </w:rPr>
              <w:t xml:space="preserve">Mg </w:t>
            </w:r>
            <w:r w:rsidRPr="00741A24">
              <w:rPr>
                <w:rFonts w:eastAsia="TimesNewRoman"/>
              </w:rPr>
              <w:t>of material applied</w:t>
            </w:r>
            <w:r w:rsidR="00773707">
              <w:rPr>
                <w:rFonts w:eastAsia="TimesNewRoman"/>
              </w:rPr>
              <w:t>;</w:t>
            </w:r>
          </w:p>
        </w:tc>
      </w:tr>
      <w:tr w:rsidR="00741A24" w:rsidRPr="00741A24" w:rsidTr="001E10FD">
        <w:tblPrEx>
          <w:tblCellMar>
            <w:top w:w="0" w:type="dxa"/>
            <w:bottom w:w="0" w:type="dxa"/>
          </w:tblCellMar>
        </w:tblPrEx>
        <w:tc>
          <w:tcPr>
            <w:tcW w:w="7056" w:type="dxa"/>
            <w:gridSpan w:val="3"/>
          </w:tcPr>
          <w:p w:rsidR="00E63D80" w:rsidRPr="00741A24" w:rsidRDefault="00E63D80" w:rsidP="001E10FD">
            <w:pPr>
              <w:ind w:left="-90"/>
            </w:pPr>
          </w:p>
        </w:tc>
      </w:tr>
      <w:tr w:rsidR="00E63D80" w:rsidRPr="00741A24" w:rsidTr="00527F92">
        <w:tblPrEx>
          <w:tblCellMar>
            <w:top w:w="0" w:type="dxa"/>
            <w:bottom w:w="0" w:type="dxa"/>
          </w:tblCellMar>
        </w:tblPrEx>
        <w:tc>
          <w:tcPr>
            <w:tcW w:w="693" w:type="dxa"/>
          </w:tcPr>
          <w:p w:rsidR="00E63D80" w:rsidRPr="00741A24" w:rsidRDefault="00E63D80" w:rsidP="001E10FD">
            <w:r w:rsidRPr="00741A24">
              <w:rPr>
                <w:rFonts w:eastAsia="TimesNewRoman"/>
              </w:rPr>
              <w:t>M</w:t>
            </w:r>
            <w:r w:rsidRPr="00741A24">
              <w:rPr>
                <w:rFonts w:eastAsia="TimesNewRoman"/>
                <w:vertAlign w:val="subscript"/>
              </w:rPr>
              <w:t>i</w:t>
            </w:r>
          </w:p>
        </w:tc>
        <w:tc>
          <w:tcPr>
            <w:tcW w:w="243" w:type="dxa"/>
          </w:tcPr>
          <w:p w:rsidR="00E63D80" w:rsidRPr="00741A24" w:rsidRDefault="00527F92" w:rsidP="001E10FD">
            <w:pPr>
              <w:ind w:left="-90"/>
            </w:pPr>
            <w:r>
              <w:t>=</w:t>
            </w:r>
          </w:p>
        </w:tc>
        <w:tc>
          <w:tcPr>
            <w:tcW w:w="6120" w:type="dxa"/>
          </w:tcPr>
          <w:p w:rsidR="00E63D80" w:rsidRPr="00741A24" w:rsidRDefault="00E63D80" w:rsidP="001E10FD">
            <w:r w:rsidRPr="00741A24">
              <w:rPr>
                <w:rFonts w:eastAsia="TimesNewRoman"/>
              </w:rPr>
              <w:t xml:space="preserve">Mass of resin or gel coat </w:t>
            </w:r>
            <w:r w:rsidR="0061548C">
              <w:rPr>
                <w:rFonts w:eastAsia="TimesNewRoman"/>
              </w:rPr>
              <w:t>(</w:t>
            </w:r>
            <w:r w:rsidRPr="00741A24">
              <w:rPr>
                <w:rFonts w:eastAsia="TimesNewRoman"/>
              </w:rPr>
              <w:t>i</w:t>
            </w:r>
            <w:r w:rsidR="0061548C">
              <w:rPr>
                <w:rFonts w:eastAsia="TimesNewRoman"/>
              </w:rPr>
              <w:t>)</w:t>
            </w:r>
            <w:r w:rsidRPr="00741A24">
              <w:rPr>
                <w:rFonts w:eastAsia="TimesNewRoman"/>
              </w:rPr>
              <w:t xml:space="preserve"> used within an operation in the past 12 months, expressed in </w:t>
            </w:r>
            <w:r w:rsidR="00773707">
              <w:rPr>
                <w:rFonts w:eastAsia="TimesNewRoman"/>
              </w:rPr>
              <w:t>Mg;</w:t>
            </w:r>
          </w:p>
        </w:tc>
      </w:tr>
      <w:tr w:rsidR="00741A24" w:rsidRPr="00741A24" w:rsidTr="001E10FD">
        <w:tblPrEx>
          <w:tblCellMar>
            <w:top w:w="0" w:type="dxa"/>
            <w:bottom w:w="0" w:type="dxa"/>
          </w:tblCellMar>
        </w:tblPrEx>
        <w:tc>
          <w:tcPr>
            <w:tcW w:w="7056" w:type="dxa"/>
            <w:gridSpan w:val="3"/>
          </w:tcPr>
          <w:p w:rsidR="00E63D80" w:rsidRPr="00741A24" w:rsidRDefault="00E63D80" w:rsidP="001E10FD">
            <w:pPr>
              <w:ind w:left="-90"/>
            </w:pPr>
          </w:p>
        </w:tc>
      </w:tr>
      <w:tr w:rsidR="00E63D80" w:rsidRPr="00741A24" w:rsidTr="00527F92">
        <w:tblPrEx>
          <w:tblCellMar>
            <w:top w:w="0" w:type="dxa"/>
            <w:bottom w:w="0" w:type="dxa"/>
          </w:tblCellMar>
        </w:tblPrEx>
        <w:tc>
          <w:tcPr>
            <w:tcW w:w="693" w:type="dxa"/>
          </w:tcPr>
          <w:p w:rsidR="00E63D80" w:rsidRPr="00741A24" w:rsidRDefault="00E63D80" w:rsidP="001E10FD">
            <w:pPr>
              <w:ind w:right="-99"/>
            </w:pPr>
            <w:r w:rsidRPr="00741A24">
              <w:rPr>
                <w:rFonts w:eastAsia="TimesNewRoman"/>
              </w:rPr>
              <w:t>n</w:t>
            </w:r>
          </w:p>
        </w:tc>
        <w:tc>
          <w:tcPr>
            <w:tcW w:w="243" w:type="dxa"/>
          </w:tcPr>
          <w:p w:rsidR="00E63D80" w:rsidRPr="00741A24" w:rsidRDefault="00527F92" w:rsidP="001E10FD">
            <w:pPr>
              <w:ind w:left="-90"/>
            </w:pPr>
            <w:r>
              <w:t>=</w:t>
            </w:r>
          </w:p>
        </w:tc>
        <w:tc>
          <w:tcPr>
            <w:tcW w:w="6120" w:type="dxa"/>
          </w:tcPr>
          <w:p w:rsidR="00E63D80" w:rsidRPr="00741A24" w:rsidRDefault="00E63D80" w:rsidP="001E10FD">
            <w:r w:rsidRPr="00741A24">
              <w:rPr>
                <w:rFonts w:eastAsia="TimesNewRoman"/>
              </w:rPr>
              <w:t>Number of different open molding resins and gel coats used within an operation in the past 12 months</w:t>
            </w:r>
            <w:r w:rsidR="00773707">
              <w:rPr>
                <w:rFonts w:eastAsia="TimesNewRoman"/>
              </w:rPr>
              <w:t>;</w:t>
            </w:r>
          </w:p>
        </w:tc>
      </w:tr>
      <w:tr w:rsidR="00741A24" w:rsidRPr="00741A24" w:rsidTr="001E10FD">
        <w:tblPrEx>
          <w:tblCellMar>
            <w:top w:w="0" w:type="dxa"/>
            <w:bottom w:w="0" w:type="dxa"/>
          </w:tblCellMar>
        </w:tblPrEx>
        <w:tc>
          <w:tcPr>
            <w:tcW w:w="7056" w:type="dxa"/>
            <w:gridSpan w:val="3"/>
          </w:tcPr>
          <w:p w:rsidR="00E63D80" w:rsidRPr="00741A24" w:rsidRDefault="00E63D80" w:rsidP="001E10FD">
            <w:pPr>
              <w:ind w:left="-90"/>
            </w:pPr>
          </w:p>
        </w:tc>
      </w:tr>
      <w:tr w:rsidR="00E63D80" w:rsidRPr="00741A24" w:rsidTr="00527F92">
        <w:tblPrEx>
          <w:tblCellMar>
            <w:top w:w="0" w:type="dxa"/>
            <w:bottom w:w="0" w:type="dxa"/>
          </w:tblCellMar>
        </w:tblPrEx>
        <w:tc>
          <w:tcPr>
            <w:tcW w:w="693" w:type="dxa"/>
          </w:tcPr>
          <w:p w:rsidR="00E63D80" w:rsidRPr="00741A24" w:rsidRDefault="00E63D80" w:rsidP="001E10FD">
            <w:pPr>
              <w:ind w:right="-81"/>
              <w:rPr>
                <w:vertAlign w:val="subscript"/>
              </w:rPr>
            </w:pPr>
            <w:r w:rsidRPr="00741A24">
              <w:rPr>
                <w:rFonts w:eastAsia="TimesNewRoman"/>
              </w:rPr>
              <w:t>PV</w:t>
            </w:r>
            <w:r w:rsidRPr="00741A24">
              <w:rPr>
                <w:rFonts w:eastAsia="TimesNewRoman"/>
                <w:vertAlign w:val="subscript"/>
              </w:rPr>
              <w:t>i</w:t>
            </w:r>
          </w:p>
        </w:tc>
        <w:tc>
          <w:tcPr>
            <w:tcW w:w="243" w:type="dxa"/>
          </w:tcPr>
          <w:p w:rsidR="00E63D80" w:rsidRPr="00741A24" w:rsidRDefault="00527F92" w:rsidP="001E10FD">
            <w:pPr>
              <w:ind w:left="-90"/>
            </w:pPr>
            <w:r>
              <w:t>=</w:t>
            </w:r>
          </w:p>
        </w:tc>
        <w:tc>
          <w:tcPr>
            <w:tcW w:w="6120" w:type="dxa"/>
          </w:tcPr>
          <w:p w:rsidR="00E63D80" w:rsidRPr="00741A24" w:rsidRDefault="00E63D80" w:rsidP="001E10FD">
            <w:r w:rsidRPr="00741A24">
              <w:rPr>
                <w:rFonts w:eastAsia="TimesNewRoman"/>
              </w:rPr>
              <w:t xml:space="preserve">The monomer VOM emission rate for resin or gel coat </w:t>
            </w:r>
            <w:r w:rsidR="0061548C">
              <w:rPr>
                <w:rFonts w:eastAsia="TimesNewRoman"/>
              </w:rPr>
              <w:t>(</w:t>
            </w:r>
            <w:r w:rsidRPr="00741A24">
              <w:rPr>
                <w:rFonts w:eastAsia="TimesNewRoman"/>
              </w:rPr>
              <w:t>i</w:t>
            </w:r>
            <w:r w:rsidR="0061548C">
              <w:rPr>
                <w:rFonts w:eastAsia="TimesNewRoman"/>
              </w:rPr>
              <w:t>)</w:t>
            </w:r>
            <w:r w:rsidRPr="00741A24">
              <w:rPr>
                <w:rFonts w:eastAsia="TimesNewRoman"/>
              </w:rPr>
              <w:t xml:space="preserve"> used within an operation in the past 12 months, expressed in </w:t>
            </w:r>
            <w:r w:rsidR="00773707">
              <w:rPr>
                <w:rFonts w:eastAsia="TimesNewRoman"/>
              </w:rPr>
              <w:t xml:space="preserve">kg </w:t>
            </w:r>
            <w:r w:rsidRPr="00741A24">
              <w:rPr>
                <w:rFonts w:eastAsia="TimesNewRoman"/>
              </w:rPr>
              <w:t xml:space="preserve">of monomer VOM per </w:t>
            </w:r>
            <w:r w:rsidR="00773707">
              <w:rPr>
                <w:rFonts w:eastAsia="TimesNewRoman"/>
              </w:rPr>
              <w:t xml:space="preserve">Mg </w:t>
            </w:r>
            <w:r w:rsidRPr="00741A24">
              <w:rPr>
                <w:rFonts w:eastAsia="TimesNewRoman"/>
              </w:rPr>
              <w:t>of material applied. The monomer VOM emission rate formulas in subsection (c)(4) of this Section shall be used to compute PV</w:t>
            </w:r>
            <w:r w:rsidRPr="00741A24">
              <w:rPr>
                <w:rFonts w:eastAsia="TimesNewRoman"/>
                <w:vertAlign w:val="subscript"/>
              </w:rPr>
              <w:t>i</w:t>
            </w:r>
            <w:r w:rsidRPr="00741A24">
              <w:rPr>
                <w:rFonts w:eastAsia="TimesNewRoman"/>
              </w:rPr>
              <w:t>.  If a source includes filled resins in the emissions average, the source shall use the value of PV</w:t>
            </w:r>
            <w:r w:rsidRPr="00741A24">
              <w:rPr>
                <w:rFonts w:eastAsia="TimesNewRoman"/>
                <w:vertAlign w:val="subscript"/>
              </w:rPr>
              <w:t>F</w:t>
            </w:r>
            <w:r w:rsidRPr="00741A24">
              <w:rPr>
                <w:rFonts w:eastAsia="TimesNewRoman"/>
              </w:rPr>
              <w:t>, calculated using Equation 5 in subsection (e)(3) of this Section, as the value of PV</w:t>
            </w:r>
            <w:r w:rsidRPr="00741A24">
              <w:rPr>
                <w:rFonts w:eastAsia="TimesNewRoman"/>
                <w:vertAlign w:val="subscript"/>
              </w:rPr>
              <w:t>i</w:t>
            </w:r>
            <w:r w:rsidRPr="00741A24">
              <w:rPr>
                <w:rFonts w:eastAsia="TimesNewRoman"/>
              </w:rPr>
              <w:t xml:space="preserve"> for </w:t>
            </w:r>
            <w:r w:rsidR="00773707">
              <w:rPr>
                <w:rFonts w:eastAsia="TimesNewRoman"/>
              </w:rPr>
              <w:t xml:space="preserve">those </w:t>
            </w:r>
            <w:r w:rsidRPr="00741A24">
              <w:rPr>
                <w:rFonts w:eastAsia="TimesNewRoman"/>
              </w:rPr>
              <w:t>resins</w:t>
            </w:r>
            <w:r w:rsidR="00773707">
              <w:rPr>
                <w:rFonts w:eastAsia="TimesNewRoman"/>
              </w:rPr>
              <w:t>;</w:t>
            </w:r>
          </w:p>
        </w:tc>
      </w:tr>
      <w:tr w:rsidR="00E63D80" w:rsidRPr="00741A24" w:rsidTr="001E10FD">
        <w:tblPrEx>
          <w:tblCellMar>
            <w:top w:w="0" w:type="dxa"/>
            <w:bottom w:w="0" w:type="dxa"/>
          </w:tblCellMar>
        </w:tblPrEx>
        <w:tc>
          <w:tcPr>
            <w:tcW w:w="7056" w:type="dxa"/>
            <w:gridSpan w:val="3"/>
          </w:tcPr>
          <w:p w:rsidR="00E63D80" w:rsidRPr="00741A24" w:rsidRDefault="00E63D80" w:rsidP="001E10FD">
            <w:pPr>
              <w:rPr>
                <w:rFonts w:eastAsia="TimesNewRoman"/>
              </w:rPr>
            </w:pPr>
          </w:p>
        </w:tc>
      </w:tr>
      <w:tr w:rsidR="00E63D80" w:rsidRPr="00741A24" w:rsidTr="00527F92">
        <w:tblPrEx>
          <w:tblCellMar>
            <w:top w:w="0" w:type="dxa"/>
            <w:bottom w:w="0" w:type="dxa"/>
          </w:tblCellMar>
        </w:tblPrEx>
        <w:tc>
          <w:tcPr>
            <w:tcW w:w="693" w:type="dxa"/>
          </w:tcPr>
          <w:p w:rsidR="00E63D80" w:rsidRPr="00741A24" w:rsidRDefault="00E63D80" w:rsidP="001E10FD">
            <w:pPr>
              <w:ind w:right="-81"/>
            </w:pPr>
            <w:r w:rsidRPr="00741A24">
              <w:t>i</w:t>
            </w:r>
          </w:p>
        </w:tc>
        <w:tc>
          <w:tcPr>
            <w:tcW w:w="243" w:type="dxa"/>
          </w:tcPr>
          <w:p w:rsidR="00E63D80" w:rsidRPr="00741A24" w:rsidRDefault="00527F92" w:rsidP="001E10FD">
            <w:pPr>
              <w:ind w:left="-90"/>
            </w:pPr>
            <w:r>
              <w:t>=</w:t>
            </w:r>
          </w:p>
        </w:tc>
        <w:tc>
          <w:tcPr>
            <w:tcW w:w="6120" w:type="dxa"/>
          </w:tcPr>
          <w:p w:rsidR="00E63D80" w:rsidRPr="00741A24" w:rsidRDefault="00741A24" w:rsidP="001E10FD">
            <w:pPr>
              <w:rPr>
                <w:rFonts w:eastAsia="TimesNewRoman"/>
              </w:rPr>
            </w:pPr>
            <w:r w:rsidRPr="00741A24">
              <w:t>Subscript denoting a specific open molding resin or gel coat applied.</w:t>
            </w:r>
          </w:p>
        </w:tc>
      </w:tr>
    </w:tbl>
    <w:p w:rsidR="00E63D80" w:rsidRPr="00741A24" w:rsidRDefault="00E63D80" w:rsidP="006C2BE8">
      <w:pPr>
        <w:rPr>
          <w:rFonts w:eastAsia="TimesNewRoman"/>
        </w:rPr>
      </w:pPr>
    </w:p>
    <w:p w:rsidR="006C2BE8" w:rsidRPr="00741A24" w:rsidRDefault="006C2BE8" w:rsidP="006C2BE8">
      <w:pPr>
        <w:ind w:left="2160" w:hanging="720"/>
        <w:rPr>
          <w:rFonts w:eastAsia="TimesNewRoman"/>
        </w:rPr>
      </w:pPr>
      <w:r w:rsidRPr="00741A24">
        <w:rPr>
          <w:rFonts w:eastAsia="TimesNewRoman"/>
        </w:rPr>
        <w:t>4)</w:t>
      </w:r>
      <w:r w:rsidRPr="00741A24">
        <w:rPr>
          <w:rFonts w:eastAsia="TimesNewRoman"/>
        </w:rPr>
        <w:tab/>
        <w:t>For purposes of Equation 4 and subsection (e)(3) of this Section, the following monomer VOM emission rate formulas shall apply</w:t>
      </w:r>
      <w:r w:rsidR="008868A5" w:rsidRPr="00AA1A7E">
        <w:rPr>
          <w:rFonts w:eastAsia="TimesNewRoman"/>
        </w:rPr>
        <w:t xml:space="preserve">.  Such formulas calculate monomer VOM emission rates in terms of kg of monomer VOM per Mg of resin or gel coat applied. </w:t>
      </w:r>
      <w:r w:rsidR="008868A5">
        <w:rPr>
          <w:rFonts w:eastAsia="TimesNewRoman"/>
        </w:rPr>
        <w:t>"</w:t>
      </w:r>
      <w:r w:rsidR="008868A5" w:rsidRPr="00AA1A7E">
        <w:rPr>
          <w:rFonts w:eastAsia="TimesNewRoman"/>
        </w:rPr>
        <w:t>VOM%</w:t>
      </w:r>
      <w:r w:rsidR="008868A5">
        <w:rPr>
          <w:rFonts w:eastAsia="TimesNewRoman"/>
        </w:rPr>
        <w:t>"</w:t>
      </w:r>
      <w:r w:rsidR="008868A5" w:rsidRPr="00AA1A7E">
        <w:rPr>
          <w:rFonts w:eastAsia="TimesNewRoman"/>
        </w:rPr>
        <w:t xml:space="preserve"> means the monomer VOM content as supplied, expressed as a weight percent value between 0 and 100 percent</w:t>
      </w:r>
      <w:r w:rsidRPr="00741A24">
        <w:rPr>
          <w:rFonts w:eastAsia="TimesNewRoman"/>
        </w:rPr>
        <w:t>:</w:t>
      </w:r>
    </w:p>
    <w:p w:rsidR="006C2BE8" w:rsidRPr="00741A24" w:rsidRDefault="006C2BE8" w:rsidP="006C2BE8">
      <w:pPr>
        <w:ind w:left="2160" w:hanging="720"/>
        <w:rPr>
          <w:rFonts w:eastAsia="TimesNewRoman"/>
        </w:rPr>
      </w:pPr>
    </w:p>
    <w:p w:rsidR="006C2BE8" w:rsidRPr="00741A24" w:rsidRDefault="006C2BE8" w:rsidP="006C2BE8">
      <w:pPr>
        <w:ind w:left="2160" w:firstLine="6"/>
        <w:rPr>
          <w:rFonts w:eastAsia="TimesNewRoman"/>
        </w:rPr>
      </w:pPr>
      <w:r w:rsidRPr="00741A24">
        <w:rPr>
          <w:rFonts w:eastAsia="TimesNewRoman"/>
        </w:rPr>
        <w:t>A)</w:t>
      </w:r>
      <w:r w:rsidRPr="00741A24">
        <w:rPr>
          <w:rFonts w:eastAsia="TimesNewRoman"/>
        </w:rPr>
        <w:tab/>
        <w:t>Production resin, tooling resin:</w:t>
      </w:r>
    </w:p>
    <w:p w:rsidR="006C2BE8" w:rsidRPr="00741A24" w:rsidRDefault="006C2BE8" w:rsidP="006C2BE8">
      <w:pPr>
        <w:ind w:left="2160" w:hanging="720"/>
        <w:rPr>
          <w:rFonts w:eastAsia="TimesNewRoman"/>
        </w:rPr>
      </w:pPr>
    </w:p>
    <w:p w:rsidR="006C2BE8" w:rsidRPr="00741A24" w:rsidRDefault="006C2BE8" w:rsidP="006C2BE8">
      <w:pPr>
        <w:ind w:firstLine="2850"/>
        <w:rPr>
          <w:rFonts w:eastAsia="TimesNewRoman"/>
          <w:vertAlign w:val="superscript"/>
        </w:rPr>
      </w:pPr>
      <w:r w:rsidRPr="00741A24">
        <w:rPr>
          <w:rFonts w:eastAsia="TimesNewRoman"/>
        </w:rPr>
        <w:t>i)</w:t>
      </w:r>
      <w:r w:rsidRPr="00741A24">
        <w:rPr>
          <w:rFonts w:eastAsia="TimesNewRoman"/>
        </w:rPr>
        <w:tab/>
        <w:t>Atomized:  0.014 x (Resin VOM%)</w:t>
      </w:r>
      <w:r w:rsidRPr="00741A24">
        <w:rPr>
          <w:rFonts w:eastAsia="TimesNewRoman"/>
          <w:vertAlign w:val="superscript"/>
        </w:rPr>
        <w:t>2.425</w:t>
      </w:r>
    </w:p>
    <w:p w:rsidR="006C2BE8" w:rsidRPr="00741A24" w:rsidRDefault="006C2BE8" w:rsidP="006C2BE8">
      <w:pPr>
        <w:ind w:left="2160" w:hanging="720"/>
        <w:rPr>
          <w:rFonts w:eastAsia="TimesNewRoman"/>
        </w:rPr>
      </w:pPr>
    </w:p>
    <w:p w:rsidR="006C2BE8" w:rsidRPr="00741A24" w:rsidRDefault="006C2BE8" w:rsidP="006C2BE8">
      <w:pPr>
        <w:ind w:left="3600" w:hanging="720"/>
        <w:rPr>
          <w:rFonts w:eastAsia="TimesNewRoman"/>
        </w:rPr>
      </w:pPr>
      <w:r w:rsidRPr="00741A24">
        <w:rPr>
          <w:rFonts w:eastAsia="TimesNewRoman"/>
        </w:rPr>
        <w:t>ii)</w:t>
      </w:r>
      <w:r w:rsidRPr="00741A24">
        <w:rPr>
          <w:rFonts w:eastAsia="TimesNewRoman"/>
        </w:rPr>
        <w:tab/>
        <w:t>Atomized, plus vacuum bagging with roll-out:  0.01185 x (Resin VOM%)</w:t>
      </w:r>
      <w:r w:rsidRPr="00741A24">
        <w:rPr>
          <w:rFonts w:eastAsia="TimesNewRoman"/>
          <w:vertAlign w:val="superscript"/>
        </w:rPr>
        <w:t>2.425</w:t>
      </w:r>
    </w:p>
    <w:p w:rsidR="006C2BE8" w:rsidRPr="00741A24" w:rsidRDefault="006C2BE8" w:rsidP="006C2BE8">
      <w:pPr>
        <w:ind w:left="2160" w:hanging="720"/>
        <w:rPr>
          <w:rFonts w:eastAsia="TimesNewRoman"/>
        </w:rPr>
      </w:pPr>
    </w:p>
    <w:p w:rsidR="006C2BE8" w:rsidRPr="00741A24" w:rsidRDefault="006C2BE8" w:rsidP="006C2BE8">
      <w:pPr>
        <w:ind w:left="3600" w:hanging="720"/>
        <w:rPr>
          <w:rFonts w:eastAsia="TimesNewRoman"/>
        </w:rPr>
      </w:pPr>
      <w:r w:rsidRPr="00741A24">
        <w:rPr>
          <w:rFonts w:eastAsia="TimesNewRoman"/>
        </w:rPr>
        <w:t>iii)</w:t>
      </w:r>
      <w:r w:rsidRPr="00741A24">
        <w:rPr>
          <w:rFonts w:eastAsia="TimesNewRoman"/>
        </w:rPr>
        <w:tab/>
        <w:t>Atomized, plus vacuum bagging without roll-out:  0.00945 x (Resin VOM%)</w:t>
      </w:r>
      <w:r w:rsidRPr="00741A24">
        <w:rPr>
          <w:rFonts w:eastAsia="TimesNewRoman"/>
          <w:vertAlign w:val="superscript"/>
        </w:rPr>
        <w:t>2.425</w:t>
      </w:r>
    </w:p>
    <w:p w:rsidR="006C2BE8" w:rsidRPr="00741A24" w:rsidRDefault="006C2BE8" w:rsidP="006C2BE8">
      <w:pPr>
        <w:ind w:left="2160" w:hanging="720"/>
        <w:rPr>
          <w:rFonts w:eastAsia="TimesNewRoman"/>
        </w:rPr>
      </w:pPr>
    </w:p>
    <w:p w:rsidR="006C2BE8" w:rsidRPr="00741A24" w:rsidRDefault="006C2BE8" w:rsidP="006C2BE8">
      <w:pPr>
        <w:ind w:firstLine="2850"/>
        <w:rPr>
          <w:rFonts w:eastAsia="TimesNewRoman"/>
          <w:vertAlign w:val="superscript"/>
        </w:rPr>
      </w:pPr>
      <w:r w:rsidRPr="00741A24">
        <w:rPr>
          <w:rFonts w:eastAsia="TimesNewRoman"/>
        </w:rPr>
        <w:t>iv)</w:t>
      </w:r>
      <w:r w:rsidRPr="00741A24">
        <w:rPr>
          <w:rFonts w:eastAsia="TimesNewRoman"/>
        </w:rPr>
        <w:tab/>
        <w:t>Nonatomized:  0.014 x (Resin VOM%)</w:t>
      </w:r>
      <w:r w:rsidRPr="00741A24">
        <w:rPr>
          <w:rFonts w:eastAsia="TimesNewRoman"/>
          <w:vertAlign w:val="superscript"/>
        </w:rPr>
        <w:t>2.275</w:t>
      </w:r>
    </w:p>
    <w:p w:rsidR="006C2BE8" w:rsidRPr="00741A24" w:rsidRDefault="006C2BE8" w:rsidP="006C2BE8">
      <w:pPr>
        <w:ind w:firstLine="2850"/>
        <w:rPr>
          <w:rFonts w:eastAsia="TimesNewRoman"/>
        </w:rPr>
      </w:pPr>
    </w:p>
    <w:p w:rsidR="006C2BE8" w:rsidRPr="00741A24" w:rsidRDefault="006C2BE8" w:rsidP="006C2BE8">
      <w:pPr>
        <w:ind w:left="3600" w:hanging="720"/>
        <w:rPr>
          <w:rFonts w:eastAsia="TimesNewRoman"/>
        </w:rPr>
      </w:pPr>
      <w:r w:rsidRPr="00741A24">
        <w:rPr>
          <w:rFonts w:eastAsia="TimesNewRoman"/>
        </w:rPr>
        <w:t>v)</w:t>
      </w:r>
      <w:r w:rsidRPr="00741A24">
        <w:rPr>
          <w:rFonts w:eastAsia="TimesNewRoman"/>
        </w:rPr>
        <w:tab/>
        <w:t>Nonatomized, plus vacuum bagging with roll-out:  0.0110 x (Resin VOM%)</w:t>
      </w:r>
      <w:r w:rsidRPr="00741A24">
        <w:rPr>
          <w:rFonts w:eastAsia="TimesNewRoman"/>
          <w:vertAlign w:val="superscript"/>
        </w:rPr>
        <w:t>2.275</w:t>
      </w:r>
    </w:p>
    <w:p w:rsidR="006C2BE8" w:rsidRPr="00741A24" w:rsidRDefault="006C2BE8" w:rsidP="006C2BE8">
      <w:pPr>
        <w:ind w:left="2160" w:hanging="720"/>
        <w:rPr>
          <w:rFonts w:eastAsia="TimesNewRoman"/>
        </w:rPr>
      </w:pPr>
    </w:p>
    <w:p w:rsidR="006C2BE8" w:rsidRPr="00741A24" w:rsidRDefault="006C2BE8" w:rsidP="006C2BE8">
      <w:pPr>
        <w:ind w:left="3600" w:hanging="720"/>
        <w:rPr>
          <w:rFonts w:eastAsia="TimesNewRoman"/>
          <w:vertAlign w:val="superscript"/>
        </w:rPr>
      </w:pPr>
      <w:r w:rsidRPr="00741A24">
        <w:rPr>
          <w:rFonts w:eastAsia="TimesNewRoman"/>
        </w:rPr>
        <w:t>vi)</w:t>
      </w:r>
      <w:r w:rsidRPr="00741A24">
        <w:rPr>
          <w:rFonts w:eastAsia="TimesNewRoman"/>
        </w:rPr>
        <w:tab/>
        <w:t>Nonatomized, plus vacuum bagging without roll-out:  0.0076 x (Resin VOM%)</w:t>
      </w:r>
      <w:r w:rsidRPr="00741A24">
        <w:rPr>
          <w:rFonts w:eastAsia="TimesNewRoman"/>
          <w:vertAlign w:val="superscript"/>
        </w:rPr>
        <w:t>2.275</w:t>
      </w:r>
    </w:p>
    <w:p w:rsidR="006C2BE8" w:rsidRPr="00741A24" w:rsidRDefault="006C2BE8" w:rsidP="006C2BE8">
      <w:pPr>
        <w:ind w:left="3600" w:hanging="720"/>
        <w:rPr>
          <w:rFonts w:eastAsia="TimesNewRoman"/>
          <w:vertAlign w:val="superscript"/>
        </w:rPr>
      </w:pPr>
    </w:p>
    <w:p w:rsidR="006C2BE8" w:rsidRPr="0061548C" w:rsidRDefault="006C2BE8" w:rsidP="006C2BE8">
      <w:pPr>
        <w:ind w:left="2880" w:hanging="720"/>
        <w:rPr>
          <w:rFonts w:eastAsia="TimesNewRoman"/>
        </w:rPr>
      </w:pPr>
      <w:r w:rsidRPr="00741A24">
        <w:rPr>
          <w:rFonts w:eastAsia="TimesNewRoman"/>
        </w:rPr>
        <w:t>B)</w:t>
      </w:r>
      <w:r w:rsidRPr="00741A24">
        <w:rPr>
          <w:rFonts w:eastAsia="TimesNewRoman"/>
        </w:rPr>
        <w:tab/>
        <w:t>Pigmented gel coat, clear gel coat, tooling gel coat:  0.445 x (Gel Coat VOM%)</w:t>
      </w:r>
      <w:r w:rsidRPr="00741A24">
        <w:rPr>
          <w:rFonts w:eastAsia="TimesNewRoman"/>
          <w:vertAlign w:val="superscript"/>
        </w:rPr>
        <w:t>1.675</w:t>
      </w:r>
    </w:p>
    <w:p w:rsidR="006C2BE8" w:rsidRPr="00741A24" w:rsidRDefault="006C2BE8" w:rsidP="006C2BE8">
      <w:pPr>
        <w:rPr>
          <w:rFonts w:eastAsia="TimesNewRoman"/>
        </w:rPr>
      </w:pPr>
    </w:p>
    <w:p w:rsidR="006C2BE8" w:rsidRPr="00741A24" w:rsidRDefault="006C2BE8" w:rsidP="006C2BE8">
      <w:pPr>
        <w:tabs>
          <w:tab w:val="left" w:pos="720"/>
          <w:tab w:val="left" w:pos="1440"/>
        </w:tabs>
        <w:ind w:left="1440" w:hanging="699"/>
      </w:pPr>
      <w:r w:rsidRPr="00741A24">
        <w:rPr>
          <w:rFonts w:eastAsia="TimesNewRoman"/>
        </w:rPr>
        <w:t>d)</w:t>
      </w:r>
      <w:r w:rsidRPr="00741A24">
        <w:rPr>
          <w:rFonts w:eastAsia="TimesNewRoman"/>
        </w:rPr>
        <w:tab/>
        <w:t>Capture System and Control Device Requirements.  N</w:t>
      </w:r>
      <w:r w:rsidRPr="00741A24">
        <w:t xml:space="preserve">o owner or operator of a source subject to the requirements of this Subpart that is utilizing a capture system and control device for a subject resin or gel coat operation shall conduct </w:t>
      </w:r>
      <w:r w:rsidR="00773707">
        <w:t xml:space="preserve">that </w:t>
      </w:r>
      <w:r w:rsidRPr="00741A24">
        <w:t>operation unless the following requirements are satisfied:</w:t>
      </w:r>
    </w:p>
    <w:p w:rsidR="006C2BE8" w:rsidRPr="00741A24" w:rsidRDefault="006C2BE8" w:rsidP="006C2BE8">
      <w:pPr>
        <w:tabs>
          <w:tab w:val="left" w:pos="720"/>
          <w:tab w:val="left" w:pos="1440"/>
        </w:tabs>
        <w:ind w:left="1440" w:hanging="1440"/>
      </w:pPr>
    </w:p>
    <w:p w:rsidR="006C2BE8" w:rsidRPr="00741A24" w:rsidRDefault="006C2BE8" w:rsidP="006C2BE8">
      <w:pPr>
        <w:ind w:left="2160" w:hanging="720"/>
      </w:pPr>
      <w:r w:rsidRPr="00741A24">
        <w:t>1)</w:t>
      </w:r>
      <w:r w:rsidRPr="00741A24">
        <w:tab/>
        <w:t xml:space="preserve">An afterburner or carbon adsorber is installed and operated that meets the limitations set forth in this subsection (d).  The owner or operator may use an emissions control system other than an afterburner or carbon adsorber if </w:t>
      </w:r>
      <w:r w:rsidR="00773707">
        <w:t xml:space="preserve">that </w:t>
      </w:r>
      <w:r w:rsidRPr="00741A24">
        <w:t xml:space="preserve">device complies with all limitations in this subsection (d), the owner or operator submits a plan to the Agency detailing appropriate monitoring devices, test methods, recordkeeping requirements, and operating parameters for </w:t>
      </w:r>
      <w:r w:rsidR="00773707">
        <w:t xml:space="preserve">the </w:t>
      </w:r>
      <w:r w:rsidRPr="00741A24">
        <w:t xml:space="preserve">control device, and </w:t>
      </w:r>
      <w:r w:rsidR="00773707">
        <w:t xml:space="preserve">the </w:t>
      </w:r>
      <w:r w:rsidRPr="00741A24">
        <w:t xml:space="preserve">plan is approved by the Agency and </w:t>
      </w:r>
      <w:r w:rsidR="008868A5">
        <w:t xml:space="preserve">approved by </w:t>
      </w:r>
      <w:r w:rsidRPr="00741A24">
        <w:t xml:space="preserve">USEPA </w:t>
      </w:r>
      <w:r w:rsidR="008868A5">
        <w:t>as a SIP revision</w:t>
      </w:r>
      <w:r w:rsidRPr="00741A24">
        <w:t>;</w:t>
      </w:r>
    </w:p>
    <w:p w:rsidR="006C2BE8" w:rsidRPr="00741A24" w:rsidRDefault="006C2BE8" w:rsidP="006C2BE8">
      <w:pPr>
        <w:ind w:left="2160" w:hanging="720"/>
      </w:pPr>
    </w:p>
    <w:p w:rsidR="006C2BE8" w:rsidRPr="00741A24" w:rsidRDefault="006C2BE8" w:rsidP="006C2BE8">
      <w:pPr>
        <w:ind w:left="2160" w:hanging="720"/>
        <w:rPr>
          <w:rFonts w:eastAsia="TimesNewRoman"/>
        </w:rPr>
      </w:pPr>
      <w:r w:rsidRPr="00741A24">
        <w:t>2)</w:t>
      </w:r>
      <w:r w:rsidRPr="00741A24">
        <w:tab/>
        <w:t xml:space="preserve">The VOM emissions at the outlet of the control device meet an emissions limitation determined using Equation 2 in subsection (c)(1) of this Section.  In Equation 2, however, instead of using the mass of each material used over the </w:t>
      </w:r>
      <w:r w:rsidRPr="00741A24">
        <w:rPr>
          <w:rFonts w:eastAsia="TimesNewRoman"/>
        </w:rPr>
        <w:t xml:space="preserve">past 12 months to determine the emission limitation, the owner or operator shall use the mass of each material used during the applicable control device performance test; </w:t>
      </w:r>
    </w:p>
    <w:p w:rsidR="006C2BE8" w:rsidRPr="00741A24" w:rsidRDefault="006C2BE8" w:rsidP="006C2BE8">
      <w:pPr>
        <w:ind w:left="2160" w:hanging="720"/>
        <w:rPr>
          <w:rFonts w:eastAsia="TimesNewRoman"/>
        </w:rPr>
      </w:pPr>
    </w:p>
    <w:p w:rsidR="006C2BE8" w:rsidRPr="00741A24" w:rsidRDefault="006C2BE8" w:rsidP="006C2BE8">
      <w:pPr>
        <w:ind w:left="2160" w:hanging="720"/>
      </w:pPr>
      <w:r w:rsidRPr="00741A24">
        <w:rPr>
          <w:rFonts w:eastAsia="TimesNewRoman"/>
        </w:rPr>
        <w:t>3)</w:t>
      </w:r>
      <w:r w:rsidRPr="00741A24">
        <w:rPr>
          <w:rFonts w:eastAsia="TimesNewRoman"/>
        </w:rPr>
        <w:tab/>
        <w:t xml:space="preserve">The owner or operator complies with all testing and monitoring requirements set forth in Section 219.892 of this Subpart.  </w:t>
      </w:r>
    </w:p>
    <w:p w:rsidR="006C2BE8" w:rsidRPr="00741A24" w:rsidRDefault="006C2BE8" w:rsidP="006C2BE8">
      <w:pPr>
        <w:tabs>
          <w:tab w:val="left" w:pos="720"/>
          <w:tab w:val="left" w:pos="1440"/>
        </w:tabs>
        <w:ind w:left="2160" w:hanging="2160"/>
      </w:pPr>
    </w:p>
    <w:p w:rsidR="006C2BE8" w:rsidRPr="00741A24" w:rsidRDefault="006C2BE8" w:rsidP="006C2BE8">
      <w:pPr>
        <w:tabs>
          <w:tab w:val="left" w:pos="720"/>
          <w:tab w:val="left" w:pos="1440"/>
        </w:tabs>
        <w:ind w:left="1440" w:hanging="699"/>
      </w:pPr>
      <w:r w:rsidRPr="00741A24">
        <w:t>e)</w:t>
      </w:r>
      <w:r w:rsidRPr="00741A24">
        <w:tab/>
        <w:t xml:space="preserve">Filled Resins.  For all filled production and tooling resins, the owner or operator of a source subject to this Subpart shall adjust the monomer VOM emission rates determined pursuant to </w:t>
      </w:r>
      <w:r w:rsidR="00E448D8">
        <w:t xml:space="preserve">subsections </w:t>
      </w:r>
      <w:r w:rsidRPr="00741A24">
        <w:t xml:space="preserve">(b) and (c) of this </w:t>
      </w:r>
      <w:r w:rsidR="00E448D8">
        <w:t>Section</w:t>
      </w:r>
      <w:r w:rsidRPr="00741A24">
        <w:t xml:space="preserve"> using Equation 5</w:t>
      </w:r>
      <w:r w:rsidR="00773707">
        <w:t xml:space="preserve"> in subsection (e)(3)</w:t>
      </w:r>
      <w:r w:rsidRPr="00741A24">
        <w:t xml:space="preserve">.  If complying pursuant to </w:t>
      </w:r>
      <w:r w:rsidR="00E448D8">
        <w:t xml:space="preserve">subsection </w:t>
      </w:r>
      <w:r w:rsidRPr="00741A24">
        <w:t xml:space="preserve">(b), the emission rate determined using Equation 5 shall not exceed the limitations set forth in subsections (e)(1) and (e)(2) of this Section.  </w:t>
      </w:r>
      <w:r w:rsidR="008868A5" w:rsidRPr="00AA1A7E">
        <w:t xml:space="preserve">If complying pursuant to subsection (c), </w:t>
      </w:r>
      <w:r w:rsidR="008868A5" w:rsidRPr="00AA1A7E">
        <w:rPr>
          <w:rFonts w:eastAsia="TimesNewRoman"/>
        </w:rPr>
        <w:t>the value of PV</w:t>
      </w:r>
      <w:r w:rsidR="008868A5" w:rsidRPr="00AA1A7E">
        <w:rPr>
          <w:rFonts w:eastAsia="TimesNewRoman"/>
          <w:vertAlign w:val="subscript"/>
        </w:rPr>
        <w:t>F</w:t>
      </w:r>
      <w:r w:rsidR="008868A5" w:rsidRPr="00AA1A7E">
        <w:rPr>
          <w:rFonts w:eastAsia="TimesNewRoman"/>
        </w:rPr>
        <w:t>, calculated using Equation 5, shall be used as the value of PV</w:t>
      </w:r>
      <w:r w:rsidR="008868A5" w:rsidRPr="00AA1A7E">
        <w:rPr>
          <w:rFonts w:eastAsia="TimesNewRoman"/>
          <w:vertAlign w:val="subscript"/>
        </w:rPr>
        <w:t>i</w:t>
      </w:r>
      <w:r w:rsidR="008868A5" w:rsidRPr="00AA1A7E">
        <w:rPr>
          <w:rFonts w:eastAsia="TimesNewRoman"/>
        </w:rPr>
        <w:t xml:space="preserve"> in Equation 4, as set forth in subsection (c)(3) of this Section.</w:t>
      </w:r>
      <w:r w:rsidR="008868A5">
        <w:rPr>
          <w:rFonts w:eastAsia="TimesNewRoman"/>
        </w:rPr>
        <w:t xml:space="preserve">  </w:t>
      </w:r>
      <w:r w:rsidRPr="00741A24">
        <w:t xml:space="preserve">If the non-monomer VOM content of a filled resin exceeds 5 percent, by weight, based on the unfilled resin, the excess non-monomer VOM shall be added to the monomer VOM content in accordance with the equation set forth in </w:t>
      </w:r>
      <w:r w:rsidR="00E448D8">
        <w:t xml:space="preserve">subsection </w:t>
      </w:r>
      <w:r w:rsidRPr="00741A24">
        <w:t xml:space="preserve">(a). </w:t>
      </w:r>
    </w:p>
    <w:p w:rsidR="006C2BE8" w:rsidRPr="00741A24" w:rsidRDefault="006C2BE8" w:rsidP="006C2BE8">
      <w:pPr>
        <w:tabs>
          <w:tab w:val="left" w:pos="720"/>
          <w:tab w:val="left" w:pos="1440"/>
        </w:tabs>
        <w:ind w:left="1440" w:hanging="2160"/>
      </w:pPr>
    </w:p>
    <w:p w:rsidR="006C2BE8" w:rsidRPr="00741A24" w:rsidRDefault="006C2BE8" w:rsidP="00741A24">
      <w:pPr>
        <w:ind w:left="720" w:firstLine="720"/>
      </w:pPr>
      <w:r w:rsidRPr="00741A24">
        <w:t>1)</w:t>
      </w:r>
      <w:r w:rsidRPr="00741A24">
        <w:tab/>
        <w:t>Tooling Resin:  54 kg (119.1 lbs) monomer VOM/Mg filled resin applied;</w:t>
      </w:r>
    </w:p>
    <w:p w:rsidR="006C2BE8" w:rsidRPr="00741A24" w:rsidRDefault="006C2BE8" w:rsidP="00741A24"/>
    <w:p w:rsidR="006C2BE8" w:rsidRPr="00741A24" w:rsidRDefault="006C2BE8" w:rsidP="00741A24">
      <w:pPr>
        <w:ind w:left="2160" w:hanging="720"/>
      </w:pPr>
      <w:r w:rsidRPr="00741A24">
        <w:t>2)</w:t>
      </w:r>
      <w:r w:rsidRPr="00741A24">
        <w:tab/>
        <w:t>Production Resin:  46 kg (101.4 lbs) monomer VOM/Mg filled resin applied;</w:t>
      </w:r>
    </w:p>
    <w:p w:rsidR="006C2BE8" w:rsidRPr="00741A24" w:rsidRDefault="006C2BE8" w:rsidP="00741A24"/>
    <w:p w:rsidR="006C2BE8" w:rsidRPr="00741A24" w:rsidRDefault="006C2BE8" w:rsidP="00741A24">
      <w:pPr>
        <w:ind w:left="720" w:firstLine="720"/>
      </w:pPr>
      <w:r w:rsidRPr="00741A24">
        <w:t>3)</w:t>
      </w:r>
      <w:r w:rsidRPr="00741A24">
        <w:tab/>
        <w:t>Equation 5:</w:t>
      </w:r>
    </w:p>
    <w:p w:rsidR="006C2BE8" w:rsidRDefault="006C2BE8" w:rsidP="006C2BE8">
      <w:pPr>
        <w:tabs>
          <w:tab w:val="left" w:pos="720"/>
          <w:tab w:val="left" w:pos="1440"/>
        </w:tabs>
        <w:ind w:left="2160" w:hanging="735"/>
      </w:pPr>
    </w:p>
    <w:p w:rsidR="00527F92" w:rsidRDefault="00527F92" w:rsidP="00527F92">
      <w:pPr>
        <w:ind w:left="3312"/>
      </w:pPr>
      <w:r w:rsidRPr="00527F92">
        <w:rPr>
          <w:position w:val="-24"/>
        </w:rPr>
        <w:object w:dxaOrig="2940" w:dyaOrig="620">
          <v:shape id="_x0000_i1030" type="#_x0000_t75" style="width:147pt;height:30.75pt" o:ole="">
            <v:imagedata r:id="rId17" o:title=""/>
          </v:shape>
          <o:OLEObject Type="Embed" ProgID="Equation.3" ShapeID="_x0000_i1030" DrawAspect="Content" ObjectID="_1401799987" r:id="rId18"/>
        </w:object>
      </w:r>
    </w:p>
    <w:p w:rsidR="00527F92" w:rsidRDefault="00527F92" w:rsidP="006C2BE8">
      <w:pPr>
        <w:tabs>
          <w:tab w:val="left" w:pos="720"/>
          <w:tab w:val="left" w:pos="1440"/>
        </w:tabs>
        <w:ind w:left="2160" w:hanging="735"/>
      </w:pPr>
    </w:p>
    <w:p w:rsidR="006C2BE8" w:rsidRPr="00741A24" w:rsidRDefault="00773707" w:rsidP="006C2BE8">
      <w:pPr>
        <w:ind w:left="1440" w:firstLine="720"/>
        <w:rPr>
          <w:rFonts w:eastAsia="TimesNewRoman"/>
        </w:rPr>
      </w:pPr>
      <w:r>
        <w:rPr>
          <w:rFonts w:eastAsia="TimesNewRoman"/>
        </w:rPr>
        <w:t>w</w:t>
      </w:r>
      <w:r w:rsidR="006C2BE8" w:rsidRPr="00741A24">
        <w:rPr>
          <w:rFonts w:eastAsia="TimesNewRoman"/>
        </w:rPr>
        <w:t>here:</w:t>
      </w:r>
    </w:p>
    <w:p w:rsidR="006C2BE8" w:rsidRPr="00741A24" w:rsidRDefault="006C2BE8" w:rsidP="006C2BE8">
      <w:pPr>
        <w:rPr>
          <w:rFonts w:eastAsia="TimesNewRoman"/>
        </w:rPr>
      </w:pPr>
    </w:p>
    <w:tbl>
      <w:tblPr>
        <w:tblW w:w="7056" w:type="dxa"/>
        <w:tblInd w:w="2502" w:type="dxa"/>
        <w:tblLayout w:type="fixed"/>
        <w:tblLook w:val="0000" w:firstRow="0" w:lastRow="0" w:firstColumn="0" w:lastColumn="0" w:noHBand="0" w:noVBand="0"/>
      </w:tblPr>
      <w:tblGrid>
        <w:gridCol w:w="954"/>
        <w:gridCol w:w="236"/>
        <w:gridCol w:w="5866"/>
      </w:tblGrid>
      <w:tr w:rsidR="00741A24" w:rsidRPr="00741A24" w:rsidTr="00527F92">
        <w:tblPrEx>
          <w:tblCellMar>
            <w:top w:w="0" w:type="dxa"/>
            <w:bottom w:w="0" w:type="dxa"/>
          </w:tblCellMar>
        </w:tblPrEx>
        <w:tc>
          <w:tcPr>
            <w:tcW w:w="954" w:type="dxa"/>
          </w:tcPr>
          <w:p w:rsidR="00741A24" w:rsidRPr="00741A24" w:rsidRDefault="00741A24" w:rsidP="001E10FD">
            <w:pPr>
              <w:ind w:left="-51" w:right="-118"/>
              <w:rPr>
                <w:vertAlign w:val="subscript"/>
              </w:rPr>
            </w:pPr>
            <w:r w:rsidRPr="00741A24">
              <w:rPr>
                <w:rFonts w:eastAsia="TimesNewRoman"/>
              </w:rPr>
              <w:t>PV</w:t>
            </w:r>
            <w:r w:rsidRPr="00741A24">
              <w:rPr>
                <w:rFonts w:eastAsia="TimesNewRoman"/>
                <w:vertAlign w:val="subscript"/>
              </w:rPr>
              <w:t>F</w:t>
            </w:r>
          </w:p>
        </w:tc>
        <w:tc>
          <w:tcPr>
            <w:tcW w:w="236" w:type="dxa"/>
          </w:tcPr>
          <w:p w:rsidR="00741A24" w:rsidRPr="00741A24" w:rsidRDefault="00527F92" w:rsidP="001E10FD">
            <w:pPr>
              <w:ind w:left="-90" w:right="-1534"/>
            </w:pPr>
            <w:r>
              <w:t>=</w:t>
            </w:r>
          </w:p>
        </w:tc>
        <w:tc>
          <w:tcPr>
            <w:tcW w:w="5866" w:type="dxa"/>
          </w:tcPr>
          <w:p w:rsidR="00741A24" w:rsidRPr="00741A24" w:rsidRDefault="00741A24" w:rsidP="001E10FD">
            <w:r w:rsidRPr="00741A24">
              <w:rPr>
                <w:rFonts w:eastAsia="TimesNewRoman"/>
              </w:rPr>
              <w:t xml:space="preserve">The as-applied monomer VOM emission rate for the filled production resin or tooling resin, expressed in </w:t>
            </w:r>
            <w:r w:rsidR="00773707">
              <w:rPr>
                <w:rFonts w:eastAsia="TimesNewRoman"/>
              </w:rPr>
              <w:t xml:space="preserve">kg </w:t>
            </w:r>
            <w:r w:rsidRPr="00741A24">
              <w:rPr>
                <w:rFonts w:eastAsia="TimesNewRoman"/>
              </w:rPr>
              <w:t xml:space="preserve">monomer VOM per </w:t>
            </w:r>
            <w:r w:rsidR="00773707">
              <w:rPr>
                <w:rFonts w:eastAsia="TimesNewRoman"/>
              </w:rPr>
              <w:t xml:space="preserve">Mg </w:t>
            </w:r>
            <w:r w:rsidRPr="00741A24">
              <w:rPr>
                <w:rFonts w:eastAsia="TimesNewRoman"/>
              </w:rPr>
              <w:t>of filled material</w:t>
            </w:r>
            <w:r w:rsidR="00773707">
              <w:rPr>
                <w:rFonts w:eastAsia="TimesNewRoman"/>
              </w:rPr>
              <w:t>;</w:t>
            </w:r>
          </w:p>
        </w:tc>
      </w:tr>
      <w:tr w:rsidR="00741A24" w:rsidRPr="00741A24" w:rsidTr="001E10FD">
        <w:tblPrEx>
          <w:tblCellMar>
            <w:top w:w="0" w:type="dxa"/>
            <w:bottom w:w="0" w:type="dxa"/>
          </w:tblCellMar>
        </w:tblPrEx>
        <w:tc>
          <w:tcPr>
            <w:tcW w:w="7056" w:type="dxa"/>
            <w:gridSpan w:val="3"/>
          </w:tcPr>
          <w:p w:rsidR="00741A24" w:rsidRPr="00741A24" w:rsidRDefault="00741A24" w:rsidP="001E10FD">
            <w:pPr>
              <w:ind w:left="-90"/>
            </w:pPr>
          </w:p>
        </w:tc>
      </w:tr>
      <w:tr w:rsidR="00741A24" w:rsidRPr="00741A24" w:rsidTr="00527F92">
        <w:tblPrEx>
          <w:tblCellMar>
            <w:top w:w="0" w:type="dxa"/>
            <w:bottom w:w="0" w:type="dxa"/>
          </w:tblCellMar>
        </w:tblPrEx>
        <w:tc>
          <w:tcPr>
            <w:tcW w:w="954" w:type="dxa"/>
          </w:tcPr>
          <w:p w:rsidR="00741A24" w:rsidRPr="00741A24" w:rsidRDefault="00741A24" w:rsidP="001E10FD">
            <w:r w:rsidRPr="00741A24">
              <w:rPr>
                <w:rFonts w:eastAsia="TimesNewRoman"/>
              </w:rPr>
              <w:t>PV</w:t>
            </w:r>
            <w:r w:rsidRPr="00741A24">
              <w:rPr>
                <w:rFonts w:eastAsia="TimesNewRoman"/>
                <w:vertAlign w:val="subscript"/>
              </w:rPr>
              <w:t>U</w:t>
            </w:r>
          </w:p>
        </w:tc>
        <w:tc>
          <w:tcPr>
            <w:tcW w:w="236" w:type="dxa"/>
          </w:tcPr>
          <w:p w:rsidR="00741A24" w:rsidRPr="00741A24" w:rsidRDefault="00527F92" w:rsidP="001E10FD">
            <w:pPr>
              <w:ind w:left="-90"/>
            </w:pPr>
            <w:r>
              <w:t>=</w:t>
            </w:r>
          </w:p>
        </w:tc>
        <w:tc>
          <w:tcPr>
            <w:tcW w:w="5866" w:type="dxa"/>
          </w:tcPr>
          <w:p w:rsidR="00741A24" w:rsidRPr="00741A24" w:rsidRDefault="00741A24" w:rsidP="001E10FD">
            <w:r w:rsidRPr="00741A24">
              <w:rPr>
                <w:rFonts w:eastAsia="TimesNewRoman"/>
              </w:rPr>
              <w:t xml:space="preserve">The monomer VOM emission rate for the unfilled resin, before filler is added, </w:t>
            </w:r>
            <w:r w:rsidR="008868A5">
              <w:rPr>
                <w:rFonts w:eastAsia="TimesNewRoman"/>
              </w:rPr>
              <w:t xml:space="preserve">expressed in kg monomer VOM per Mg, as </w:t>
            </w:r>
            <w:r w:rsidRPr="00741A24">
              <w:rPr>
                <w:rFonts w:eastAsia="TimesNewRoman"/>
              </w:rPr>
              <w:t>calculated using the formulas in Section 219.891(</w:t>
            </w:r>
            <w:r w:rsidR="001D7E46">
              <w:rPr>
                <w:rFonts w:eastAsia="TimesNewRoman"/>
              </w:rPr>
              <w:t>c</w:t>
            </w:r>
            <w:r w:rsidRPr="00741A24">
              <w:rPr>
                <w:rFonts w:eastAsia="TimesNewRoman"/>
              </w:rPr>
              <w:t>)(4) of this Subpart</w:t>
            </w:r>
            <w:r w:rsidR="00773707">
              <w:rPr>
                <w:rFonts w:eastAsia="TimesNewRoman"/>
              </w:rPr>
              <w:t>;</w:t>
            </w:r>
          </w:p>
        </w:tc>
      </w:tr>
      <w:tr w:rsidR="00741A24" w:rsidRPr="00741A24" w:rsidTr="001E10FD">
        <w:tblPrEx>
          <w:tblCellMar>
            <w:top w:w="0" w:type="dxa"/>
            <w:bottom w:w="0" w:type="dxa"/>
          </w:tblCellMar>
        </w:tblPrEx>
        <w:tc>
          <w:tcPr>
            <w:tcW w:w="7056" w:type="dxa"/>
            <w:gridSpan w:val="3"/>
          </w:tcPr>
          <w:p w:rsidR="00741A24" w:rsidRPr="00741A24" w:rsidRDefault="00741A24" w:rsidP="001E10FD">
            <w:pPr>
              <w:ind w:left="-90"/>
            </w:pPr>
          </w:p>
        </w:tc>
      </w:tr>
      <w:tr w:rsidR="00741A24" w:rsidRPr="00741A24" w:rsidTr="00527F92">
        <w:tblPrEx>
          <w:tblCellMar>
            <w:top w:w="0" w:type="dxa"/>
            <w:bottom w:w="0" w:type="dxa"/>
          </w:tblCellMar>
        </w:tblPrEx>
        <w:tc>
          <w:tcPr>
            <w:tcW w:w="954" w:type="dxa"/>
          </w:tcPr>
          <w:p w:rsidR="00741A24" w:rsidRPr="00741A24" w:rsidRDefault="00741A24" w:rsidP="001E10FD">
            <w:pPr>
              <w:ind w:right="-99"/>
            </w:pPr>
            <w:r w:rsidRPr="00741A24">
              <w:rPr>
                <w:rFonts w:eastAsia="TimesNewRoman"/>
              </w:rPr>
              <w:t>% Filler</w:t>
            </w:r>
          </w:p>
        </w:tc>
        <w:tc>
          <w:tcPr>
            <w:tcW w:w="236" w:type="dxa"/>
          </w:tcPr>
          <w:p w:rsidR="00741A24" w:rsidRPr="00741A24" w:rsidRDefault="00527F92" w:rsidP="001E10FD">
            <w:pPr>
              <w:ind w:left="-90"/>
            </w:pPr>
            <w:r>
              <w:t>=</w:t>
            </w:r>
          </w:p>
        </w:tc>
        <w:tc>
          <w:tcPr>
            <w:tcW w:w="5866" w:type="dxa"/>
          </w:tcPr>
          <w:p w:rsidR="00741A24" w:rsidRPr="00741A24" w:rsidRDefault="00741A24" w:rsidP="001E10FD">
            <w:r w:rsidRPr="00741A24">
              <w:rPr>
                <w:rFonts w:eastAsia="TimesNewRoman"/>
              </w:rPr>
              <w:t>The weight-percent of filler in the as-applied filled resin system.</w:t>
            </w:r>
          </w:p>
        </w:tc>
      </w:tr>
    </w:tbl>
    <w:p w:rsidR="00741A24" w:rsidRPr="00741A24" w:rsidRDefault="00741A24" w:rsidP="006C2BE8">
      <w:pPr>
        <w:rPr>
          <w:rFonts w:eastAsia="TimesNewRoman"/>
        </w:rPr>
      </w:pPr>
    </w:p>
    <w:p w:rsidR="006C2BE8" w:rsidRPr="00741A24" w:rsidRDefault="006C2BE8" w:rsidP="006C2BE8">
      <w:pPr>
        <w:ind w:left="1440" w:hanging="720"/>
        <w:rPr>
          <w:rFonts w:eastAsia="TimesNewRoman"/>
        </w:rPr>
      </w:pPr>
      <w:r w:rsidRPr="00741A24">
        <w:rPr>
          <w:rFonts w:eastAsia="TimesNewRoman"/>
        </w:rPr>
        <w:t>f)</w:t>
      </w:r>
      <w:r w:rsidRPr="00741A24">
        <w:rPr>
          <w:rFonts w:eastAsia="TimesNewRoman"/>
        </w:rPr>
        <w:tab/>
        <w:t xml:space="preserve">The limitations in subsections (a) through (e) of this Section shall not apply to the following materials.  </w:t>
      </w:r>
      <w:r w:rsidR="00773707">
        <w:rPr>
          <w:rFonts w:eastAsia="TimesNewRoman"/>
        </w:rPr>
        <w:t xml:space="preserve">These </w:t>
      </w:r>
      <w:r w:rsidRPr="00741A24">
        <w:rPr>
          <w:rFonts w:eastAsia="TimesNewRoman"/>
        </w:rPr>
        <w:t>materials shall instead comply with the applicable requirements set forth in subsections (f)(1) through (f)(3).</w:t>
      </w:r>
    </w:p>
    <w:p w:rsidR="006C2BE8" w:rsidRPr="00741A24" w:rsidRDefault="006C2BE8" w:rsidP="006C2BE8">
      <w:pPr>
        <w:ind w:left="1440" w:hanging="720"/>
        <w:rPr>
          <w:rFonts w:eastAsia="TimesNewRoman"/>
        </w:rPr>
      </w:pPr>
    </w:p>
    <w:p w:rsidR="006C2BE8" w:rsidRPr="00741A24" w:rsidRDefault="006C2BE8" w:rsidP="006C2BE8">
      <w:pPr>
        <w:tabs>
          <w:tab w:val="left" w:pos="4050"/>
        </w:tabs>
        <w:ind w:left="2160" w:hanging="720"/>
      </w:pPr>
      <w:r w:rsidRPr="00741A24">
        <w:rPr>
          <w:rFonts w:eastAsia="TimesNewRoman"/>
        </w:rPr>
        <w:t>1)</w:t>
      </w:r>
      <w:r w:rsidRPr="00741A24">
        <w:rPr>
          <w:rFonts w:eastAsia="TimesNewRoman"/>
        </w:rPr>
        <w:tab/>
        <w:t>P</w:t>
      </w:r>
      <w:r w:rsidRPr="00741A24">
        <w:t xml:space="preserve">roduction resins, including skin coat resins, that must meet specifications for use in military vessels or must be approved by the United States Coast Guard for use in the construction of lifeboats, rescue boats, and other life-saving appliances approved under 46 </w:t>
      </w:r>
      <w:smartTag w:uri="urn:schemas-microsoft-com:office:smarttags" w:element="stockticker">
        <w:r w:rsidRPr="00741A24">
          <w:t>CFR</w:t>
        </w:r>
      </w:smartTag>
      <w:r w:rsidRPr="00741A24">
        <w:t xml:space="preserve"> Subchapter Q, incorporated by reference in Section 219.112 of this Part, or for use in the construction of small passenger vessels regulated by 40 </w:t>
      </w:r>
      <w:smartTag w:uri="urn:schemas-microsoft-com:office:smarttags" w:element="stockticker">
        <w:r w:rsidRPr="00741A24">
          <w:t>CFR</w:t>
        </w:r>
      </w:smartTag>
      <w:r w:rsidRPr="00741A24">
        <w:t xml:space="preserve"> Subchapter T, incorporated by reference in Section 219.112 of this Part.  The owner or operator of a source subject to this Subpart shall apply all such resins with nonatomizing resin application equipment;</w:t>
      </w:r>
    </w:p>
    <w:p w:rsidR="006C2BE8" w:rsidRPr="00741A24" w:rsidRDefault="006C2BE8" w:rsidP="006C2BE8">
      <w:pPr>
        <w:tabs>
          <w:tab w:val="left" w:pos="720"/>
          <w:tab w:val="left" w:pos="1440"/>
        </w:tabs>
        <w:ind w:left="2160" w:hanging="2160"/>
      </w:pPr>
    </w:p>
    <w:p w:rsidR="006C2BE8" w:rsidRPr="00741A24" w:rsidRDefault="006C2BE8" w:rsidP="006C2BE8">
      <w:pPr>
        <w:tabs>
          <w:tab w:val="left" w:pos="720"/>
          <w:tab w:val="left" w:pos="1440"/>
        </w:tabs>
        <w:ind w:left="2160" w:hanging="678"/>
      </w:pPr>
      <w:r w:rsidRPr="00741A24">
        <w:t>2)</w:t>
      </w:r>
      <w:r w:rsidRPr="00741A24">
        <w:tab/>
        <w:t xml:space="preserve">Production and tooling resins, and pigmented, clear, and tooling gel coats used for part or mold repair and touch ups.  </w:t>
      </w:r>
      <w:r w:rsidR="00773707">
        <w:t xml:space="preserve">These </w:t>
      </w:r>
      <w:r w:rsidRPr="00741A24">
        <w:t>materials shall not exceed 1 percent, by weight, of all resin</w:t>
      </w:r>
      <w:r w:rsidR="00773707">
        <w:t>s</w:t>
      </w:r>
      <w:r w:rsidRPr="00741A24">
        <w:t xml:space="preserve"> and gel coats used at a subject source on a 12-month rolling average basis;</w:t>
      </w:r>
    </w:p>
    <w:p w:rsidR="006C2BE8" w:rsidRPr="00741A24" w:rsidRDefault="006C2BE8" w:rsidP="006C2BE8">
      <w:pPr>
        <w:tabs>
          <w:tab w:val="left" w:pos="720"/>
          <w:tab w:val="left" w:pos="1440"/>
        </w:tabs>
        <w:ind w:left="1440" w:hanging="1440"/>
      </w:pPr>
    </w:p>
    <w:p w:rsidR="006C2BE8" w:rsidRPr="00741A24" w:rsidRDefault="006C2BE8" w:rsidP="006C2BE8">
      <w:pPr>
        <w:tabs>
          <w:tab w:val="left" w:pos="720"/>
          <w:tab w:val="left" w:pos="1440"/>
        </w:tabs>
        <w:ind w:left="2160" w:hanging="735"/>
      </w:pPr>
      <w:r w:rsidRPr="00741A24">
        <w:t>3)</w:t>
      </w:r>
      <w:r w:rsidRPr="00741A24">
        <w:tab/>
        <w:t xml:space="preserve">Pure, 100 percent vinylester resins used for skin coats.  The owner or operator of a source subject to this Subpart shall apply </w:t>
      </w:r>
      <w:r w:rsidR="00773707">
        <w:t xml:space="preserve">these </w:t>
      </w:r>
      <w:r w:rsidRPr="00741A24">
        <w:t>resins with non</w:t>
      </w:r>
      <w:r w:rsidR="0061548C">
        <w:t>-</w:t>
      </w:r>
      <w:r w:rsidRPr="00741A24">
        <w:t xml:space="preserve">atomizing resin application equipment, and the total amount of </w:t>
      </w:r>
      <w:r w:rsidR="00773707">
        <w:t xml:space="preserve">the </w:t>
      </w:r>
      <w:r w:rsidRPr="00741A24">
        <w:t>resins shall not exceed 5 percent, by weight, of all resins used at the subject source on a 12-month rolling-average basis.</w:t>
      </w:r>
    </w:p>
    <w:p w:rsidR="006C2BE8" w:rsidRPr="00741A24" w:rsidRDefault="006C2BE8" w:rsidP="006C2BE8">
      <w:pPr>
        <w:tabs>
          <w:tab w:val="left" w:pos="720"/>
          <w:tab w:val="left" w:pos="1440"/>
        </w:tabs>
        <w:ind w:left="2160" w:hanging="2160"/>
      </w:pPr>
    </w:p>
    <w:p w:rsidR="006C2BE8" w:rsidRPr="00741A24" w:rsidRDefault="006C2BE8" w:rsidP="006C2BE8">
      <w:pPr>
        <w:tabs>
          <w:tab w:val="left" w:pos="720"/>
          <w:tab w:val="left" w:pos="1440"/>
        </w:tabs>
        <w:ind w:left="1440" w:hanging="699"/>
      </w:pPr>
      <w:r w:rsidRPr="00741A24">
        <w:t>g)</w:t>
      </w:r>
      <w:r w:rsidRPr="00741A24">
        <w:tab/>
        <w:t>No owner or operator of a source subject to this Subpart shall use VOM- containing cleaning solutions to remove cured resin</w:t>
      </w:r>
      <w:r w:rsidR="00773707">
        <w:t>s</w:t>
      </w:r>
      <w:r w:rsidRPr="00741A24">
        <w:t xml:space="preserve"> and gel coats from fiberglass boat manufacturing application equipment.  Additionally, no owner or operator shall use VOM-containing cleaning solutions for routine cleaning of application equipment unless: </w:t>
      </w:r>
    </w:p>
    <w:p w:rsidR="006C2BE8" w:rsidRPr="00741A24" w:rsidRDefault="006C2BE8" w:rsidP="006C2BE8">
      <w:pPr>
        <w:tabs>
          <w:tab w:val="left" w:pos="720"/>
          <w:tab w:val="left" w:pos="1440"/>
        </w:tabs>
        <w:ind w:left="1440" w:hanging="2160"/>
      </w:pPr>
    </w:p>
    <w:p w:rsidR="006C2BE8" w:rsidRPr="00741A24" w:rsidRDefault="006C2BE8" w:rsidP="006C2BE8">
      <w:pPr>
        <w:tabs>
          <w:tab w:val="left" w:pos="720"/>
          <w:tab w:val="left" w:pos="1440"/>
        </w:tabs>
        <w:ind w:left="2160" w:hanging="735"/>
      </w:pPr>
      <w:r w:rsidRPr="00741A24">
        <w:t>1)</w:t>
      </w:r>
      <w:r w:rsidRPr="00741A24">
        <w:tab/>
        <w:t xml:space="preserve">The VOM content of the cleaning solution is less than or equal to 5 percent, by weight; or </w:t>
      </w:r>
    </w:p>
    <w:p w:rsidR="006C2BE8" w:rsidRPr="00741A24" w:rsidRDefault="006C2BE8" w:rsidP="006C2BE8">
      <w:pPr>
        <w:tabs>
          <w:tab w:val="left" w:pos="720"/>
          <w:tab w:val="left" w:pos="1440"/>
        </w:tabs>
        <w:ind w:left="2160" w:hanging="2880"/>
      </w:pPr>
    </w:p>
    <w:p w:rsidR="006C2BE8" w:rsidRPr="00741A24" w:rsidRDefault="006C2BE8" w:rsidP="00741A24">
      <w:pPr>
        <w:ind w:left="2160" w:hanging="735"/>
      </w:pPr>
      <w:r w:rsidRPr="00741A24">
        <w:t>2)</w:t>
      </w:r>
      <w:r w:rsidRPr="00741A24">
        <w:tab/>
        <w:t>The composite vapor pressure of the cleaning solution is less than or equal to 0.50 mmHg at 68</w:t>
      </w:r>
      <w:r w:rsidR="00741A24" w:rsidRPr="00741A24">
        <w:t>°</w:t>
      </w:r>
      <w:r w:rsidRPr="00741A24">
        <w:t>F.</w:t>
      </w:r>
    </w:p>
    <w:p w:rsidR="006C2BE8" w:rsidRPr="00741A24" w:rsidRDefault="006C2BE8" w:rsidP="006C2BE8">
      <w:pPr>
        <w:tabs>
          <w:tab w:val="left" w:pos="720"/>
          <w:tab w:val="left" w:pos="1440"/>
        </w:tabs>
        <w:ind w:left="1440" w:hanging="2160"/>
      </w:pPr>
    </w:p>
    <w:p w:rsidR="006C2BE8" w:rsidRPr="00741A24" w:rsidRDefault="006C2BE8" w:rsidP="006C2BE8">
      <w:pPr>
        <w:tabs>
          <w:tab w:val="left" w:pos="720"/>
          <w:tab w:val="left" w:pos="1440"/>
        </w:tabs>
        <w:ind w:left="1440" w:hanging="699"/>
      </w:pPr>
      <w:r w:rsidRPr="00741A24">
        <w:t>h)</w:t>
      </w:r>
      <w:r w:rsidRPr="00741A24">
        <w:tab/>
        <w:t>No owner or operator of a source subject to this Subpart shall use resin or gel coat mixing containers with a capacity equal to or greater than 208 liters (55 gallons), including those used for on-site mixing of putties and polyputties, unless such containers have covers with no visible gaps in place at all times, except when material is being manually added to or removed from a container or when mixing or pumping equipment is being placed in or removed from a container.</w:t>
      </w:r>
    </w:p>
    <w:p w:rsidR="006C2BE8" w:rsidRPr="00741A24" w:rsidRDefault="006C2BE8" w:rsidP="005B482D">
      <w:pPr>
        <w:ind w:left="2160" w:hanging="792"/>
      </w:pPr>
    </w:p>
    <w:p w:rsidR="008868A5" w:rsidRPr="00D55B37" w:rsidRDefault="008868A5">
      <w:pPr>
        <w:pStyle w:val="JCARSourceNote"/>
        <w:ind w:left="720"/>
      </w:pPr>
      <w:r w:rsidRPr="00D55B37">
        <w:t xml:space="preserve">(Source:  </w:t>
      </w:r>
      <w:r>
        <w:t>Amended</w:t>
      </w:r>
      <w:r w:rsidRPr="00D55B37">
        <w:t xml:space="preserve"> at </w:t>
      </w:r>
      <w:r>
        <w:t>35 I</w:t>
      </w:r>
      <w:r w:rsidRPr="00D55B37">
        <w:t xml:space="preserve">ll. Reg. </w:t>
      </w:r>
      <w:r w:rsidR="009A3780">
        <w:t>13676</w:t>
      </w:r>
      <w:r w:rsidRPr="00D55B37">
        <w:t xml:space="preserve">, effective </w:t>
      </w:r>
      <w:r w:rsidR="009A3780">
        <w:t>July 27, 2011</w:t>
      </w:r>
      <w:r w:rsidRPr="00D55B37">
        <w:t>)</w:t>
      </w:r>
    </w:p>
    <w:sectPr w:rsidR="008868A5"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D8C" w:rsidRDefault="004C1D8C">
      <w:r>
        <w:separator/>
      </w:r>
    </w:p>
  </w:endnote>
  <w:endnote w:type="continuationSeparator" w:id="0">
    <w:p w:rsidR="004C1D8C" w:rsidRDefault="004C1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D8C" w:rsidRDefault="004C1D8C">
      <w:r>
        <w:separator/>
      </w:r>
    </w:p>
  </w:footnote>
  <w:footnote w:type="continuationSeparator" w:id="0">
    <w:p w:rsidR="004C1D8C" w:rsidRDefault="004C1D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71E94"/>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42F19"/>
    <w:rsid w:val="00050531"/>
    <w:rsid w:val="00057192"/>
    <w:rsid w:val="0006041A"/>
    <w:rsid w:val="00061B45"/>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27BDF"/>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4442"/>
    <w:rsid w:val="001A6EDB"/>
    <w:rsid w:val="001B5A14"/>
    <w:rsid w:val="001B5F27"/>
    <w:rsid w:val="001B5F3E"/>
    <w:rsid w:val="001C0BF1"/>
    <w:rsid w:val="001C1D61"/>
    <w:rsid w:val="001C71C2"/>
    <w:rsid w:val="001C7D95"/>
    <w:rsid w:val="001D0EBA"/>
    <w:rsid w:val="001D0EFC"/>
    <w:rsid w:val="001D7BEB"/>
    <w:rsid w:val="001D7E46"/>
    <w:rsid w:val="001E0D70"/>
    <w:rsid w:val="001E10FD"/>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266FF"/>
    <w:rsid w:val="0023173C"/>
    <w:rsid w:val="002324A0"/>
    <w:rsid w:val="002325F1"/>
    <w:rsid w:val="00235BC5"/>
    <w:rsid w:val="002375DD"/>
    <w:rsid w:val="00246758"/>
    <w:rsid w:val="00246C8D"/>
    <w:rsid w:val="00247D57"/>
    <w:rsid w:val="002524EC"/>
    <w:rsid w:val="002607D4"/>
    <w:rsid w:val="0026224A"/>
    <w:rsid w:val="00264AD1"/>
    <w:rsid w:val="002667B7"/>
    <w:rsid w:val="00267D8C"/>
    <w:rsid w:val="00272138"/>
    <w:rsid w:val="002721C1"/>
    <w:rsid w:val="00272986"/>
    <w:rsid w:val="00274640"/>
    <w:rsid w:val="002760EE"/>
    <w:rsid w:val="002772A5"/>
    <w:rsid w:val="0028037A"/>
    <w:rsid w:val="00280FB4"/>
    <w:rsid w:val="00285B27"/>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179E2"/>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211D"/>
    <w:rsid w:val="003A4E0A"/>
    <w:rsid w:val="003A6E65"/>
    <w:rsid w:val="003B419A"/>
    <w:rsid w:val="003B5138"/>
    <w:rsid w:val="003B78C5"/>
    <w:rsid w:val="003C07D2"/>
    <w:rsid w:val="003D0D44"/>
    <w:rsid w:val="003D12E4"/>
    <w:rsid w:val="003D4D4A"/>
    <w:rsid w:val="003F0EC8"/>
    <w:rsid w:val="003F2136"/>
    <w:rsid w:val="003F24B3"/>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04CF"/>
    <w:rsid w:val="004B41BC"/>
    <w:rsid w:val="004B6FF4"/>
    <w:rsid w:val="004C1D8C"/>
    <w:rsid w:val="004D6EED"/>
    <w:rsid w:val="004D73D3"/>
    <w:rsid w:val="004E49DF"/>
    <w:rsid w:val="004E4A5D"/>
    <w:rsid w:val="004E513F"/>
    <w:rsid w:val="004F077B"/>
    <w:rsid w:val="005001C5"/>
    <w:rsid w:val="005039E7"/>
    <w:rsid w:val="0050660E"/>
    <w:rsid w:val="005109B5"/>
    <w:rsid w:val="00512795"/>
    <w:rsid w:val="005161BF"/>
    <w:rsid w:val="0052308E"/>
    <w:rsid w:val="005232CE"/>
    <w:rsid w:val="005237D3"/>
    <w:rsid w:val="00526060"/>
    <w:rsid w:val="00527F92"/>
    <w:rsid w:val="00530BE1"/>
    <w:rsid w:val="00531849"/>
    <w:rsid w:val="00531C06"/>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8703B"/>
    <w:rsid w:val="005901D4"/>
    <w:rsid w:val="005948A7"/>
    <w:rsid w:val="005A2494"/>
    <w:rsid w:val="005A32BF"/>
    <w:rsid w:val="005A73F7"/>
    <w:rsid w:val="005B482D"/>
    <w:rsid w:val="005C7438"/>
    <w:rsid w:val="005D35F3"/>
    <w:rsid w:val="005E03A7"/>
    <w:rsid w:val="005E3D55"/>
    <w:rsid w:val="005F1AA8"/>
    <w:rsid w:val="005F2891"/>
    <w:rsid w:val="00604BCE"/>
    <w:rsid w:val="006132CE"/>
    <w:rsid w:val="0061548C"/>
    <w:rsid w:val="00620BBA"/>
    <w:rsid w:val="006225B0"/>
    <w:rsid w:val="006247D4"/>
    <w:rsid w:val="00626C17"/>
    <w:rsid w:val="00631875"/>
    <w:rsid w:val="00634D17"/>
    <w:rsid w:val="006361A4"/>
    <w:rsid w:val="00641AEA"/>
    <w:rsid w:val="0064660E"/>
    <w:rsid w:val="00651FF5"/>
    <w:rsid w:val="006529AB"/>
    <w:rsid w:val="00666006"/>
    <w:rsid w:val="00670B89"/>
    <w:rsid w:val="00672EE7"/>
    <w:rsid w:val="00673BD7"/>
    <w:rsid w:val="00675EDA"/>
    <w:rsid w:val="00685500"/>
    <w:rsid w:val="006861B7"/>
    <w:rsid w:val="00691405"/>
    <w:rsid w:val="00692220"/>
    <w:rsid w:val="006932A1"/>
    <w:rsid w:val="0069341B"/>
    <w:rsid w:val="00694C82"/>
    <w:rsid w:val="00695CB6"/>
    <w:rsid w:val="006969B5"/>
    <w:rsid w:val="00697F1A"/>
    <w:rsid w:val="006A042E"/>
    <w:rsid w:val="006A2114"/>
    <w:rsid w:val="006A72FE"/>
    <w:rsid w:val="006B3E84"/>
    <w:rsid w:val="006B5C47"/>
    <w:rsid w:val="006B7535"/>
    <w:rsid w:val="006B7892"/>
    <w:rsid w:val="006C0FE8"/>
    <w:rsid w:val="006C2BE8"/>
    <w:rsid w:val="006C45D5"/>
    <w:rsid w:val="006E00BF"/>
    <w:rsid w:val="006E1AE0"/>
    <w:rsid w:val="006E1BAD"/>
    <w:rsid w:val="006E1F95"/>
    <w:rsid w:val="006E6D53"/>
    <w:rsid w:val="006F36BD"/>
    <w:rsid w:val="006F76F3"/>
    <w:rsid w:val="006F7BF8"/>
    <w:rsid w:val="00700FB4"/>
    <w:rsid w:val="00702A38"/>
    <w:rsid w:val="0070602C"/>
    <w:rsid w:val="00706857"/>
    <w:rsid w:val="00717DBE"/>
    <w:rsid w:val="00720025"/>
    <w:rsid w:val="007245F7"/>
    <w:rsid w:val="007268A0"/>
    <w:rsid w:val="00727763"/>
    <w:rsid w:val="007278C5"/>
    <w:rsid w:val="00737469"/>
    <w:rsid w:val="00740393"/>
    <w:rsid w:val="00741A24"/>
    <w:rsid w:val="00742136"/>
    <w:rsid w:val="00744356"/>
    <w:rsid w:val="00745353"/>
    <w:rsid w:val="00750400"/>
    <w:rsid w:val="00763B6D"/>
    <w:rsid w:val="00765D64"/>
    <w:rsid w:val="007710B8"/>
    <w:rsid w:val="00773707"/>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47EEA"/>
    <w:rsid w:val="00855AEC"/>
    <w:rsid w:val="00855F56"/>
    <w:rsid w:val="008570BA"/>
    <w:rsid w:val="00860ECA"/>
    <w:rsid w:val="0086679B"/>
    <w:rsid w:val="00870EF2"/>
    <w:rsid w:val="008717C5"/>
    <w:rsid w:val="00881866"/>
    <w:rsid w:val="008822C1"/>
    <w:rsid w:val="00882B7D"/>
    <w:rsid w:val="0088338B"/>
    <w:rsid w:val="00883D59"/>
    <w:rsid w:val="0088496F"/>
    <w:rsid w:val="00884C49"/>
    <w:rsid w:val="008858C6"/>
    <w:rsid w:val="008868A5"/>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6E5"/>
    <w:rsid w:val="00961E38"/>
    <w:rsid w:val="00965A76"/>
    <w:rsid w:val="00966D51"/>
    <w:rsid w:val="0098276C"/>
    <w:rsid w:val="00983C53"/>
    <w:rsid w:val="00986F7E"/>
    <w:rsid w:val="00994782"/>
    <w:rsid w:val="009A26DA"/>
    <w:rsid w:val="009A3780"/>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0F12"/>
    <w:rsid w:val="00A72534"/>
    <w:rsid w:val="00A75A0E"/>
    <w:rsid w:val="00A809C5"/>
    <w:rsid w:val="00A86FF6"/>
    <w:rsid w:val="00A87EC5"/>
    <w:rsid w:val="00A91761"/>
    <w:rsid w:val="00A94967"/>
    <w:rsid w:val="00A97CAE"/>
    <w:rsid w:val="00AA25C5"/>
    <w:rsid w:val="00AA387B"/>
    <w:rsid w:val="00AA6F19"/>
    <w:rsid w:val="00AB12CF"/>
    <w:rsid w:val="00AB1466"/>
    <w:rsid w:val="00AC0DD5"/>
    <w:rsid w:val="00AC4914"/>
    <w:rsid w:val="00AC6F0C"/>
    <w:rsid w:val="00AC7225"/>
    <w:rsid w:val="00AD2A5F"/>
    <w:rsid w:val="00AE031A"/>
    <w:rsid w:val="00AE5547"/>
    <w:rsid w:val="00AE776A"/>
    <w:rsid w:val="00AE7BDE"/>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1707"/>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1E94"/>
    <w:rsid w:val="00C72A95"/>
    <w:rsid w:val="00C72C0C"/>
    <w:rsid w:val="00C73CD4"/>
    <w:rsid w:val="00C748F6"/>
    <w:rsid w:val="00C83AC0"/>
    <w:rsid w:val="00C86122"/>
    <w:rsid w:val="00C9697B"/>
    <w:rsid w:val="00CA1E98"/>
    <w:rsid w:val="00CA2022"/>
    <w:rsid w:val="00CA3AA0"/>
    <w:rsid w:val="00CA4D41"/>
    <w:rsid w:val="00CA4E7D"/>
    <w:rsid w:val="00CA69A2"/>
    <w:rsid w:val="00CA7140"/>
    <w:rsid w:val="00CA7CD6"/>
    <w:rsid w:val="00CB065C"/>
    <w:rsid w:val="00CB1C46"/>
    <w:rsid w:val="00CB3DC9"/>
    <w:rsid w:val="00CC13F9"/>
    <w:rsid w:val="00CC4C1D"/>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44EE"/>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1DD9"/>
    <w:rsid w:val="00DC505C"/>
    <w:rsid w:val="00DC5B52"/>
    <w:rsid w:val="00DC5FDC"/>
    <w:rsid w:val="00DD3C9D"/>
    <w:rsid w:val="00DE3439"/>
    <w:rsid w:val="00DE42D9"/>
    <w:rsid w:val="00DE5010"/>
    <w:rsid w:val="00DE6345"/>
    <w:rsid w:val="00DF0813"/>
    <w:rsid w:val="00DF25BD"/>
    <w:rsid w:val="00E0634B"/>
    <w:rsid w:val="00E10800"/>
    <w:rsid w:val="00E11728"/>
    <w:rsid w:val="00E16B25"/>
    <w:rsid w:val="00E21CD6"/>
    <w:rsid w:val="00E24167"/>
    <w:rsid w:val="00E24878"/>
    <w:rsid w:val="00E30395"/>
    <w:rsid w:val="00E34B29"/>
    <w:rsid w:val="00E406C7"/>
    <w:rsid w:val="00E40FDC"/>
    <w:rsid w:val="00E41211"/>
    <w:rsid w:val="00E4457E"/>
    <w:rsid w:val="00E448D8"/>
    <w:rsid w:val="00E449BC"/>
    <w:rsid w:val="00E45282"/>
    <w:rsid w:val="00E47B6D"/>
    <w:rsid w:val="00E63D80"/>
    <w:rsid w:val="00E7024C"/>
    <w:rsid w:val="00E70D83"/>
    <w:rsid w:val="00E70F35"/>
    <w:rsid w:val="00E7288E"/>
    <w:rsid w:val="00E73826"/>
    <w:rsid w:val="00E7596C"/>
    <w:rsid w:val="00E82718"/>
    <w:rsid w:val="00E82ABF"/>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5B70"/>
    <w:rsid w:val="00FB6CE4"/>
    <w:rsid w:val="00FC18E5"/>
    <w:rsid w:val="00FC2BF7"/>
    <w:rsid w:val="00FC3252"/>
    <w:rsid w:val="00FC34CE"/>
    <w:rsid w:val="00FC7A26"/>
    <w:rsid w:val="00FD25DA"/>
    <w:rsid w:val="00FD38AB"/>
    <w:rsid w:val="00FD5C59"/>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7EEA"/>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7EEA"/>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microsoft.com/office/2007/relationships/stylesWithEffects" Target="stylesWithEffects.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2048</Words>
  <Characters>11679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cp:lastPrinted>2011-03-22T19:13:00Z</cp:lastPrinted>
  <dcterms:created xsi:type="dcterms:W3CDTF">2012-06-21T19:43:00Z</dcterms:created>
  <dcterms:modified xsi:type="dcterms:W3CDTF">2012-06-21T19:43:00Z</dcterms:modified>
</cp:coreProperties>
</file>