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B" w:rsidRDefault="007800BB" w:rsidP="007800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0BB" w:rsidRDefault="007800BB" w:rsidP="007800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217.141  Existing Emission </w:t>
      </w:r>
      <w:r w:rsidR="005E0EC5">
        <w:rPr>
          <w:b/>
          <w:bCs/>
        </w:rPr>
        <w:t>Units</w:t>
      </w:r>
      <w:r>
        <w:rPr>
          <w:b/>
          <w:bCs/>
        </w:rPr>
        <w:t xml:space="preserve"> in Major Metropolitan Areas</w:t>
      </w:r>
      <w:r>
        <w:t xml:space="preserve"> </w:t>
      </w:r>
    </w:p>
    <w:p w:rsidR="007800BB" w:rsidRDefault="007800BB" w:rsidP="007800BB">
      <w:pPr>
        <w:widowControl w:val="0"/>
        <w:autoSpaceDE w:val="0"/>
        <w:autoSpaceDN w:val="0"/>
        <w:adjustRightInd w:val="0"/>
      </w:pPr>
    </w:p>
    <w:p w:rsidR="007800BB" w:rsidRDefault="007800BB" w:rsidP="007800BB">
      <w:pPr>
        <w:widowControl w:val="0"/>
        <w:autoSpaceDE w:val="0"/>
        <w:autoSpaceDN w:val="0"/>
        <w:adjustRightInd w:val="0"/>
      </w:pPr>
      <w:r>
        <w:t xml:space="preserve">No person shall cause or allow the emission of nitrogen oxides into the atmosphere in any one hour period from any existing fuel combustion emission </w:t>
      </w:r>
      <w:r w:rsidR="005E0EC5">
        <w:t>unit</w:t>
      </w:r>
      <w:r>
        <w:t xml:space="preserve"> with an actual heat input equal to or greater than 73.2 MW (250 mmbtu/hr), located in the Chicago or St. Louis (Illinois) major metropolitan areas to exceed the following limitations: </w:t>
      </w:r>
    </w:p>
    <w:p w:rsidR="00C24B5E" w:rsidRDefault="00C24B5E" w:rsidP="007800BB">
      <w:pPr>
        <w:widowControl w:val="0"/>
        <w:autoSpaceDE w:val="0"/>
        <w:autoSpaceDN w:val="0"/>
        <w:adjustRightInd w:val="0"/>
      </w:pPr>
    </w:p>
    <w:p w:rsidR="007800BB" w:rsidRDefault="007800BB" w:rsidP="007800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gaseous and/or liquid fossil fuel firing, 0.46 kg/MW-hr (0.3 lbs/mmbtu) of actual heat input; </w:t>
      </w:r>
    </w:p>
    <w:p w:rsidR="00C24B5E" w:rsidRDefault="00C24B5E" w:rsidP="007800BB">
      <w:pPr>
        <w:widowControl w:val="0"/>
        <w:autoSpaceDE w:val="0"/>
        <w:autoSpaceDN w:val="0"/>
        <w:adjustRightInd w:val="0"/>
        <w:ind w:left="1440" w:hanging="720"/>
      </w:pPr>
    </w:p>
    <w:p w:rsidR="007800BB" w:rsidRDefault="007800BB" w:rsidP="007800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solid fossil fuel firing, 1.39 kg/MW-hr (0.9 lbs/mmbtu) of actual heat input; </w:t>
      </w:r>
    </w:p>
    <w:p w:rsidR="00C24B5E" w:rsidRDefault="00C24B5E" w:rsidP="007800BB">
      <w:pPr>
        <w:widowControl w:val="0"/>
        <w:autoSpaceDE w:val="0"/>
        <w:autoSpaceDN w:val="0"/>
        <w:adjustRightInd w:val="0"/>
        <w:ind w:left="1440" w:hanging="720"/>
      </w:pPr>
    </w:p>
    <w:p w:rsidR="007800BB" w:rsidRDefault="007800BB" w:rsidP="007800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fuel combustion emission </w:t>
      </w:r>
      <w:r w:rsidR="005E0EC5">
        <w:t>units</w:t>
      </w:r>
      <w:r>
        <w:t xml:space="preserve"> burning simultaneously any combination of solid, liquid </w:t>
      </w:r>
      <w:r w:rsidR="0052193F">
        <w:t xml:space="preserve">and gaseous fuel, the </w:t>
      </w:r>
      <w:r>
        <w:t>allowable emis</w:t>
      </w:r>
      <w:r w:rsidR="0052193F">
        <w:t>si</w:t>
      </w:r>
      <w:r>
        <w:t xml:space="preserve">on rate shall be determined by the following equation: </w:t>
      </w:r>
    </w:p>
    <w:p w:rsidR="0052193F" w:rsidRDefault="0052193F" w:rsidP="007800BB">
      <w:pPr>
        <w:widowControl w:val="0"/>
        <w:autoSpaceDE w:val="0"/>
        <w:autoSpaceDN w:val="0"/>
        <w:adjustRightInd w:val="0"/>
        <w:ind w:left="1440" w:hanging="720"/>
      </w:pPr>
    </w:p>
    <w:p w:rsidR="0052193F" w:rsidRDefault="006126AE" w:rsidP="006126AE">
      <w:pPr>
        <w:widowControl w:val="0"/>
        <w:autoSpaceDE w:val="0"/>
        <w:autoSpaceDN w:val="0"/>
        <w:adjustRightInd w:val="0"/>
        <w:ind w:left="3876" w:hanging="15"/>
      </w:pPr>
      <w:r w:rsidRPr="006126AE">
        <w:rPr>
          <w:position w:val="-10"/>
        </w:rPr>
        <w:object w:dxaOrig="2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7.25pt" o:ole="">
            <v:imagedata r:id="rId5" o:title=""/>
          </v:shape>
          <o:OLEObject Type="Embed" ProgID="Equation.3" ShapeID="_x0000_i1025" DrawAspect="Content" ObjectID="_1401798184" r:id="rId6"/>
        </w:object>
      </w:r>
    </w:p>
    <w:p w:rsidR="006126AE" w:rsidRDefault="006126AE" w:rsidP="0052193F">
      <w:pPr>
        <w:widowControl w:val="0"/>
        <w:autoSpaceDE w:val="0"/>
        <w:autoSpaceDN w:val="0"/>
        <w:adjustRightInd w:val="0"/>
        <w:ind w:left="2166" w:hanging="15"/>
      </w:pPr>
    </w:p>
    <w:p w:rsidR="0052193F" w:rsidRDefault="0052193F" w:rsidP="006126AE">
      <w:pPr>
        <w:widowControl w:val="0"/>
        <w:autoSpaceDE w:val="0"/>
        <w:autoSpaceDN w:val="0"/>
        <w:adjustRightInd w:val="0"/>
        <w:ind w:left="1422" w:hanging="15"/>
      </w:pPr>
      <w:r>
        <w:t>Where:</w:t>
      </w:r>
    </w:p>
    <w:p w:rsidR="0052193F" w:rsidRDefault="0052193F" w:rsidP="007800BB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818" w:type="dxa"/>
        <w:tblLayout w:type="fixed"/>
        <w:tblLook w:val="0000" w:firstRow="0" w:lastRow="0" w:firstColumn="0" w:lastColumn="0" w:noHBand="0" w:noVBand="0"/>
      </w:tblPr>
      <w:tblGrid>
        <w:gridCol w:w="1305"/>
        <w:gridCol w:w="297"/>
        <w:gridCol w:w="5798"/>
      </w:tblGrid>
      <w:tr w:rsidR="006D5211" w:rsidTr="006D521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allowable nitrogen oxides emissions rate</w:t>
            </w:r>
          </w:p>
        </w:tc>
      </w:tr>
      <w:tr w:rsidR="006D5211" w:rsidTr="006D521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Q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 xml:space="preserve">actual heat input </w:t>
            </w:r>
          </w:p>
        </w:tc>
      </w:tr>
      <w:tr w:rsidR="006D5211" w:rsidTr="006D521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G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percent of actual heat input derived from gaseous fossil fuel</w:t>
            </w:r>
          </w:p>
        </w:tc>
      </w:tr>
      <w:tr w:rsidR="006D5211" w:rsidTr="006D521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percent of actual heat input derived from liquid fossil fuel</w:t>
            </w:r>
          </w:p>
        </w:tc>
      </w:tr>
      <w:tr w:rsidR="006D5211" w:rsidTr="006D521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percent of actual heat input derived from solid fossil fuel</w:t>
            </w:r>
          </w:p>
        </w:tc>
      </w:tr>
      <w:tr w:rsidR="006D5211" w:rsidTr="006D521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05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G + L + S</w:t>
            </w:r>
          </w:p>
        </w:tc>
        <w:tc>
          <w:tcPr>
            <w:tcW w:w="297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  <w:ind w:left="-126" w:right="-99"/>
              <w:jc w:val="center"/>
            </w:pPr>
            <w:r>
              <w:t>=</w:t>
            </w:r>
          </w:p>
        </w:tc>
        <w:tc>
          <w:tcPr>
            <w:tcW w:w="5798" w:type="dxa"/>
          </w:tcPr>
          <w:p w:rsidR="006D5211" w:rsidRDefault="006D5211" w:rsidP="006D5211">
            <w:pPr>
              <w:widowControl w:val="0"/>
              <w:autoSpaceDE w:val="0"/>
              <w:autoSpaceDN w:val="0"/>
              <w:adjustRightInd w:val="0"/>
            </w:pPr>
            <w:r>
              <w:t>100.0</w:t>
            </w:r>
          </w:p>
        </w:tc>
      </w:tr>
    </w:tbl>
    <w:p w:rsidR="006D5211" w:rsidRDefault="006D5211" w:rsidP="007800BB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96" w:type="dxa"/>
        <w:tblLook w:val="0000" w:firstRow="0" w:lastRow="0" w:firstColumn="0" w:lastColumn="0" w:noHBand="0" w:noVBand="0"/>
      </w:tblPr>
      <w:tblGrid>
        <w:gridCol w:w="1197"/>
        <w:gridCol w:w="1728"/>
        <w:gridCol w:w="2277"/>
      </w:tblGrid>
      <w:tr w:rsidR="0021261B" w:rsidRPr="00901465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8" w:type="dxa"/>
          </w:tcPr>
          <w:p w:rsidR="0021261B" w:rsidRPr="00901465" w:rsidRDefault="0021261B" w:rsidP="00D02A5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Metric</w:t>
            </w:r>
          </w:p>
        </w:tc>
        <w:tc>
          <w:tcPr>
            <w:tcW w:w="2277" w:type="dxa"/>
          </w:tcPr>
          <w:p w:rsidR="0021261B" w:rsidRPr="00901465" w:rsidRDefault="0021261B" w:rsidP="00D02A5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901465">
              <w:rPr>
                <w:u w:val="single"/>
              </w:rPr>
              <w:t>English</w:t>
            </w:r>
          </w:p>
        </w:tc>
      </w:tr>
      <w:tr w:rsidR="0021261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97" w:type="dxa"/>
            <w:vAlign w:val="bottom"/>
          </w:tcPr>
          <w:p w:rsidR="0021261B" w:rsidRDefault="0021261B" w:rsidP="00D02A5A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1728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Kg/hr</w:t>
            </w:r>
          </w:p>
        </w:tc>
        <w:tc>
          <w:tcPr>
            <w:tcW w:w="227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1ls/hr</w:t>
            </w:r>
          </w:p>
        </w:tc>
      </w:tr>
      <w:tr w:rsidR="0021261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19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Q</w:t>
            </w:r>
          </w:p>
        </w:tc>
        <w:tc>
          <w:tcPr>
            <w:tcW w:w="1728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MW</w:t>
            </w:r>
          </w:p>
        </w:tc>
        <w:tc>
          <w:tcPr>
            <w:tcW w:w="227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Mmbtu/hr</w:t>
            </w:r>
          </w:p>
        </w:tc>
      </w:tr>
      <w:tr w:rsidR="0021261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9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1728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0.023</w:t>
            </w:r>
          </w:p>
        </w:tc>
        <w:tc>
          <w:tcPr>
            <w:tcW w:w="227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21261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19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1728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0.023</w:t>
            </w:r>
          </w:p>
        </w:tc>
        <w:tc>
          <w:tcPr>
            <w:tcW w:w="227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2126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9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1728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</w:t>
            </w:r>
            <w:r w:rsidR="00BA2B97">
              <w:t>68</w:t>
            </w:r>
          </w:p>
        </w:tc>
        <w:tc>
          <w:tcPr>
            <w:tcW w:w="2277" w:type="dxa"/>
            <w:vAlign w:val="bottom"/>
          </w:tcPr>
          <w:p w:rsidR="0021261B" w:rsidRDefault="0021261B" w:rsidP="00D02A5A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  <w:r w:rsidR="00BA2B97">
              <w:t>9</w:t>
            </w:r>
          </w:p>
        </w:tc>
      </w:tr>
    </w:tbl>
    <w:p w:rsidR="0021261B" w:rsidRDefault="0021261B" w:rsidP="007800BB">
      <w:pPr>
        <w:widowControl w:val="0"/>
        <w:autoSpaceDE w:val="0"/>
        <w:autoSpaceDN w:val="0"/>
        <w:adjustRightInd w:val="0"/>
        <w:ind w:left="2160" w:hanging="720"/>
      </w:pPr>
    </w:p>
    <w:p w:rsidR="005E0EC5" w:rsidRDefault="007800BB" w:rsidP="007800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Exceptions:  This </w:t>
      </w:r>
      <w:r w:rsidR="005E0EC5">
        <w:t>Section</w:t>
      </w:r>
      <w:r>
        <w:t xml:space="preserve"> shall not apply to </w:t>
      </w:r>
      <w:r w:rsidR="005E0EC5">
        <w:t>the following:</w:t>
      </w:r>
    </w:p>
    <w:p w:rsidR="005E0EC5" w:rsidRDefault="005E0EC5" w:rsidP="007800BB">
      <w:pPr>
        <w:widowControl w:val="0"/>
        <w:autoSpaceDE w:val="0"/>
        <w:autoSpaceDN w:val="0"/>
        <w:adjustRightInd w:val="0"/>
        <w:ind w:left="1440" w:hanging="720"/>
      </w:pPr>
    </w:p>
    <w:p w:rsidR="005E0EC5" w:rsidRDefault="005E0EC5" w:rsidP="005E0E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D5211">
        <w:t>Existing</w:t>
      </w:r>
      <w:r w:rsidR="007800BB">
        <w:t xml:space="preserve"> fuel combustion sources </w:t>
      </w:r>
      <w:r w:rsidR="006D5211">
        <w:t>that</w:t>
      </w:r>
      <w:r w:rsidR="007800BB">
        <w:t xml:space="preserve"> are either cyclone fired boilers </w:t>
      </w:r>
      <w:r w:rsidR="007800BB">
        <w:lastRenderedPageBreak/>
        <w:t>burning solid or liquid fuel, or horizontally opposed fired boilers burning solid fuel</w:t>
      </w:r>
      <w:r>
        <w:t>; or</w:t>
      </w:r>
    </w:p>
    <w:p w:rsidR="007800BB" w:rsidRDefault="007800BB" w:rsidP="005E0EC5">
      <w:pPr>
        <w:widowControl w:val="0"/>
        <w:autoSpaceDE w:val="0"/>
        <w:autoSpaceDN w:val="0"/>
        <w:adjustRightInd w:val="0"/>
        <w:ind w:left="2160" w:hanging="720"/>
      </w:pPr>
    </w:p>
    <w:p w:rsidR="005E0EC5" w:rsidRDefault="005E0EC5" w:rsidP="005E0E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Emission units that are subject to the emissions limitations of Subpart E, F, G, H, </w:t>
      </w:r>
      <w:r w:rsidR="002D06CE">
        <w:t xml:space="preserve">I, </w:t>
      </w:r>
      <w:r>
        <w:t>M</w:t>
      </w:r>
      <w:r w:rsidR="006D5211">
        <w:t>,</w:t>
      </w:r>
      <w:r>
        <w:t xml:space="preserve"> or Q of this Part.</w:t>
      </w:r>
    </w:p>
    <w:p w:rsidR="005E0EC5" w:rsidRDefault="005E0EC5" w:rsidP="005E0EC5">
      <w:pPr>
        <w:widowControl w:val="0"/>
        <w:autoSpaceDE w:val="0"/>
        <w:autoSpaceDN w:val="0"/>
        <w:adjustRightInd w:val="0"/>
      </w:pPr>
    </w:p>
    <w:p w:rsidR="0039721E" w:rsidRDefault="0039721E" w:rsidP="003972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13345, effective August 31, 2009) </w:t>
      </w:r>
    </w:p>
    <w:sectPr w:rsidR="0039721E" w:rsidSect="00780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0BB"/>
    <w:rsid w:val="0021261B"/>
    <w:rsid w:val="002D06CE"/>
    <w:rsid w:val="0039721E"/>
    <w:rsid w:val="0052193F"/>
    <w:rsid w:val="0052671C"/>
    <w:rsid w:val="005C3366"/>
    <w:rsid w:val="005E0EC5"/>
    <w:rsid w:val="006126AE"/>
    <w:rsid w:val="006D5211"/>
    <w:rsid w:val="007800BB"/>
    <w:rsid w:val="00901465"/>
    <w:rsid w:val="00994066"/>
    <w:rsid w:val="009E2E7A"/>
    <w:rsid w:val="00A234CB"/>
    <w:rsid w:val="00A9076F"/>
    <w:rsid w:val="00B757DB"/>
    <w:rsid w:val="00BA2B97"/>
    <w:rsid w:val="00C24B5E"/>
    <w:rsid w:val="00D02A5A"/>
    <w:rsid w:val="00DA2180"/>
    <w:rsid w:val="00EC7657"/>
    <w:rsid w:val="00F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