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DD" w:rsidRDefault="005A4CDD" w:rsidP="005A4C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4CDD" w:rsidRDefault="005A4CDD" w:rsidP="005A4C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214.140  Scope</w:t>
      </w:r>
      <w:r>
        <w:t xml:space="preserve"> </w:t>
      </w:r>
    </w:p>
    <w:p w:rsidR="005A4CDD" w:rsidRDefault="005A4CDD" w:rsidP="005A4CDD">
      <w:pPr>
        <w:widowControl w:val="0"/>
        <w:autoSpaceDE w:val="0"/>
        <w:autoSpaceDN w:val="0"/>
        <w:adjustRightInd w:val="0"/>
      </w:pPr>
    </w:p>
    <w:p w:rsidR="005A4CDD" w:rsidRDefault="005A4CDD" w:rsidP="005A4CDD">
      <w:pPr>
        <w:widowControl w:val="0"/>
        <w:autoSpaceDE w:val="0"/>
        <w:autoSpaceDN w:val="0"/>
        <w:adjustRightInd w:val="0"/>
      </w:pPr>
      <w:r>
        <w:t xml:space="preserve">This Subpart contains rules which establish general sulfur emissions standards for existing solid fuel emission sources.  These may be modified by industry and site-specific rules in Subparts N, et seq. </w:t>
      </w:r>
    </w:p>
    <w:p w:rsidR="005A4CDD" w:rsidRDefault="005A4CDD" w:rsidP="005A4CDD">
      <w:pPr>
        <w:widowControl w:val="0"/>
        <w:autoSpaceDE w:val="0"/>
        <w:autoSpaceDN w:val="0"/>
        <w:adjustRightInd w:val="0"/>
      </w:pPr>
    </w:p>
    <w:p w:rsidR="005A4CDD" w:rsidRDefault="005A4CDD" w:rsidP="005A4C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10 Ill. Reg. 9806, effective May 20, 1986) </w:t>
      </w:r>
    </w:p>
    <w:sectPr w:rsidR="005A4CDD" w:rsidSect="005A4C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CDD"/>
    <w:rsid w:val="000F55E9"/>
    <w:rsid w:val="005A4CDD"/>
    <w:rsid w:val="005C3366"/>
    <w:rsid w:val="007972BD"/>
    <w:rsid w:val="0095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