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563" w:rsidRDefault="00F72563" w:rsidP="00F72563">
      <w:pPr>
        <w:widowControl w:val="0"/>
        <w:autoSpaceDE w:val="0"/>
        <w:autoSpaceDN w:val="0"/>
        <w:adjustRightInd w:val="0"/>
      </w:pPr>
      <w:bookmarkStart w:id="0" w:name="_GoBack"/>
      <w:bookmarkEnd w:id="0"/>
    </w:p>
    <w:p w:rsidR="00F72563" w:rsidRDefault="00F72563" w:rsidP="00F72563">
      <w:pPr>
        <w:widowControl w:val="0"/>
        <w:autoSpaceDE w:val="0"/>
        <w:autoSpaceDN w:val="0"/>
        <w:adjustRightInd w:val="0"/>
      </w:pPr>
      <w:r>
        <w:rPr>
          <w:b/>
          <w:bCs/>
        </w:rPr>
        <w:t xml:space="preserve">Section 201.APPENDIX C  </w:t>
      </w:r>
      <w:r w:rsidR="00891C45">
        <w:rPr>
          <w:b/>
          <w:bCs/>
        </w:rPr>
        <w:t xml:space="preserve"> </w:t>
      </w:r>
      <w:r>
        <w:rPr>
          <w:b/>
          <w:bCs/>
        </w:rPr>
        <w:t>Part Compliance Dates</w:t>
      </w:r>
      <w:r>
        <w:t xml:space="preserve"> </w:t>
      </w:r>
    </w:p>
    <w:p w:rsidR="00F72563" w:rsidRDefault="00F72563" w:rsidP="00F72563">
      <w:pPr>
        <w:widowControl w:val="0"/>
        <w:autoSpaceDE w:val="0"/>
        <w:autoSpaceDN w:val="0"/>
        <w:adjustRightInd w:val="0"/>
      </w:pPr>
    </w:p>
    <w:p w:rsidR="00F72563" w:rsidRDefault="00F72563" w:rsidP="00F72563">
      <w:pPr>
        <w:widowControl w:val="0"/>
        <w:autoSpaceDE w:val="0"/>
        <w:autoSpaceDN w:val="0"/>
        <w:adjustRightInd w:val="0"/>
        <w:jc w:val="center"/>
      </w:pPr>
      <w:r>
        <w:t>Rule 103(b)(2)</w:t>
      </w:r>
    </w:p>
    <w:p w:rsidR="00F72563" w:rsidRDefault="00F72563" w:rsidP="00F72563">
      <w:pPr>
        <w:widowControl w:val="0"/>
        <w:autoSpaceDE w:val="0"/>
        <w:autoSpaceDN w:val="0"/>
        <w:adjustRightInd w:val="0"/>
        <w:jc w:val="center"/>
      </w:pPr>
    </w:p>
    <w:p w:rsidR="00F72563" w:rsidRDefault="00F72563" w:rsidP="00F72563">
      <w:pPr>
        <w:widowControl w:val="0"/>
        <w:autoSpaceDE w:val="0"/>
        <w:autoSpaceDN w:val="0"/>
        <w:adjustRightInd w:val="0"/>
      </w:pPr>
      <w:r>
        <w:t xml:space="preserve">Operating permits were required as follows: </w:t>
      </w:r>
    </w:p>
    <w:p w:rsidR="00F72563" w:rsidRDefault="00F72563" w:rsidP="00F72563">
      <w:pPr>
        <w:widowControl w:val="0"/>
        <w:autoSpaceDE w:val="0"/>
        <w:autoSpaceDN w:val="0"/>
        <w:adjustRightInd w:val="0"/>
      </w:pPr>
    </w:p>
    <w:tbl>
      <w:tblPr>
        <w:tblW w:w="0" w:type="auto"/>
        <w:tblLook w:val="01E0" w:firstRow="1" w:lastRow="1" w:firstColumn="1" w:lastColumn="1" w:noHBand="0" w:noVBand="0"/>
      </w:tblPr>
      <w:tblGrid>
        <w:gridCol w:w="4788"/>
        <w:gridCol w:w="2673"/>
      </w:tblGrid>
      <w:tr w:rsidR="00891C45">
        <w:trPr>
          <w:trHeight w:val="570"/>
        </w:trPr>
        <w:tc>
          <w:tcPr>
            <w:tcW w:w="4788" w:type="dxa"/>
            <w:vAlign w:val="bottom"/>
          </w:tcPr>
          <w:p w:rsidR="00891C45" w:rsidRDefault="00891C45" w:rsidP="003C6C4B">
            <w:r>
              <w:t>SOURCE CLASSIFICATION</w:t>
            </w:r>
          </w:p>
        </w:tc>
        <w:tc>
          <w:tcPr>
            <w:tcW w:w="2673" w:type="dxa"/>
            <w:vAlign w:val="bottom"/>
          </w:tcPr>
          <w:p w:rsidR="00891C45" w:rsidRDefault="00891C45" w:rsidP="003C6C4B">
            <w:r>
              <w:t>DATE OPERATING PERMIT REQUIRED</w:t>
            </w:r>
          </w:p>
        </w:tc>
      </w:tr>
      <w:tr w:rsidR="00891C45">
        <w:tc>
          <w:tcPr>
            <w:tcW w:w="4788" w:type="dxa"/>
            <w:vAlign w:val="bottom"/>
          </w:tcPr>
          <w:p w:rsidR="00891C45" w:rsidRDefault="00891C45" w:rsidP="003C6C4B"/>
        </w:tc>
        <w:tc>
          <w:tcPr>
            <w:tcW w:w="2673" w:type="dxa"/>
            <w:vAlign w:val="bottom"/>
          </w:tcPr>
          <w:p w:rsidR="00891C45" w:rsidRDefault="00891C45" w:rsidP="003C6C4B"/>
        </w:tc>
      </w:tr>
      <w:tr w:rsidR="00891C45">
        <w:trPr>
          <w:trHeight w:val="828"/>
        </w:trPr>
        <w:tc>
          <w:tcPr>
            <w:tcW w:w="4788" w:type="dxa"/>
            <w:vAlign w:val="bottom"/>
          </w:tcPr>
          <w:p w:rsidR="00891C45" w:rsidRDefault="00891C45" w:rsidP="003C6C4B">
            <w:r>
              <w:t>Primary Metal Industry Operations as defined by code 33 of the “Standard Industrial Classification Manual”</w:t>
            </w:r>
          </w:p>
        </w:tc>
        <w:tc>
          <w:tcPr>
            <w:tcW w:w="2673" w:type="dxa"/>
            <w:vAlign w:val="bottom"/>
          </w:tcPr>
          <w:p w:rsidR="00891C45" w:rsidRDefault="00891C45" w:rsidP="003C6C4B">
            <w:r>
              <w:t>By December 1, 1972</w:t>
            </w:r>
          </w:p>
        </w:tc>
      </w:tr>
      <w:tr w:rsidR="00891C45">
        <w:tc>
          <w:tcPr>
            <w:tcW w:w="4788" w:type="dxa"/>
            <w:vAlign w:val="bottom"/>
          </w:tcPr>
          <w:p w:rsidR="00891C45" w:rsidRDefault="00891C45" w:rsidP="003C6C4B"/>
        </w:tc>
        <w:tc>
          <w:tcPr>
            <w:tcW w:w="2673" w:type="dxa"/>
            <w:vAlign w:val="bottom"/>
          </w:tcPr>
          <w:p w:rsidR="00891C45" w:rsidRDefault="00891C45" w:rsidP="003C6C4B"/>
        </w:tc>
      </w:tr>
      <w:tr w:rsidR="00891C45">
        <w:trPr>
          <w:trHeight w:val="810"/>
        </w:trPr>
        <w:tc>
          <w:tcPr>
            <w:tcW w:w="4788" w:type="dxa"/>
            <w:vAlign w:val="bottom"/>
          </w:tcPr>
          <w:p w:rsidR="00891C45" w:rsidRDefault="00891C45" w:rsidP="003C6C4B">
            <w:r>
              <w:t>Rubber and Plastics Products Industry Operations as defined by code 30 of the “Standard Industrial Classification Manual”</w:t>
            </w:r>
          </w:p>
        </w:tc>
        <w:tc>
          <w:tcPr>
            <w:tcW w:w="2673" w:type="dxa"/>
            <w:vAlign w:val="bottom"/>
          </w:tcPr>
          <w:p w:rsidR="00891C45" w:rsidRDefault="00891C45" w:rsidP="003C6C4B">
            <w:r>
              <w:t>By December 1, 1972</w:t>
            </w:r>
          </w:p>
        </w:tc>
      </w:tr>
      <w:tr w:rsidR="00891C45">
        <w:tc>
          <w:tcPr>
            <w:tcW w:w="4788" w:type="dxa"/>
            <w:vAlign w:val="bottom"/>
          </w:tcPr>
          <w:p w:rsidR="00891C45" w:rsidRDefault="00891C45" w:rsidP="003C6C4B"/>
        </w:tc>
        <w:tc>
          <w:tcPr>
            <w:tcW w:w="2673" w:type="dxa"/>
            <w:vAlign w:val="bottom"/>
          </w:tcPr>
          <w:p w:rsidR="00891C45" w:rsidRDefault="00891C45" w:rsidP="003C6C4B"/>
        </w:tc>
      </w:tr>
      <w:tr w:rsidR="00891C45">
        <w:trPr>
          <w:trHeight w:val="801"/>
        </w:trPr>
        <w:tc>
          <w:tcPr>
            <w:tcW w:w="4788" w:type="dxa"/>
            <w:vAlign w:val="bottom"/>
          </w:tcPr>
          <w:p w:rsidR="00891C45" w:rsidRDefault="00891C45" w:rsidP="003C6C4B">
            <w:r>
              <w:t>Chemicals and Allied Products Industry Operations as defined by code 28 of the “Standard Industrial Classification Manual”</w:t>
            </w:r>
          </w:p>
        </w:tc>
        <w:tc>
          <w:tcPr>
            <w:tcW w:w="2673" w:type="dxa"/>
            <w:vAlign w:val="bottom"/>
          </w:tcPr>
          <w:p w:rsidR="00891C45" w:rsidRDefault="00891C45" w:rsidP="003C6C4B">
            <w:r>
              <w:t>By January 1, 1973</w:t>
            </w:r>
          </w:p>
        </w:tc>
      </w:tr>
      <w:tr w:rsidR="00891C45">
        <w:tc>
          <w:tcPr>
            <w:tcW w:w="4788" w:type="dxa"/>
            <w:vAlign w:val="bottom"/>
          </w:tcPr>
          <w:p w:rsidR="00891C45" w:rsidRDefault="00891C45" w:rsidP="003C6C4B"/>
        </w:tc>
        <w:tc>
          <w:tcPr>
            <w:tcW w:w="2673" w:type="dxa"/>
            <w:vAlign w:val="bottom"/>
          </w:tcPr>
          <w:p w:rsidR="00891C45" w:rsidRDefault="00891C45" w:rsidP="003C6C4B"/>
        </w:tc>
      </w:tr>
      <w:tr w:rsidR="00891C45">
        <w:trPr>
          <w:trHeight w:val="1404"/>
        </w:trPr>
        <w:tc>
          <w:tcPr>
            <w:tcW w:w="4788" w:type="dxa"/>
            <w:vAlign w:val="bottom"/>
          </w:tcPr>
          <w:p w:rsidR="00891C45" w:rsidRDefault="00891C45" w:rsidP="003C6C4B">
            <w:r>
              <w:t>Food and Kindred Products Industry Operations as defined by code 20 and Printing and Publishing Industry Operations as defined by code 27 of the “Standard Industrial Classification Manual”</w:t>
            </w:r>
          </w:p>
        </w:tc>
        <w:tc>
          <w:tcPr>
            <w:tcW w:w="2673" w:type="dxa"/>
            <w:vAlign w:val="bottom"/>
          </w:tcPr>
          <w:p w:rsidR="00891C45" w:rsidRDefault="00891C45" w:rsidP="003C6C4B">
            <w:r>
              <w:t>By February 1, 1973</w:t>
            </w:r>
          </w:p>
        </w:tc>
      </w:tr>
      <w:tr w:rsidR="00891C45">
        <w:tc>
          <w:tcPr>
            <w:tcW w:w="4788" w:type="dxa"/>
            <w:vAlign w:val="bottom"/>
          </w:tcPr>
          <w:p w:rsidR="00891C45" w:rsidRDefault="00891C45" w:rsidP="003C6C4B"/>
        </w:tc>
        <w:tc>
          <w:tcPr>
            <w:tcW w:w="2673" w:type="dxa"/>
            <w:vAlign w:val="bottom"/>
          </w:tcPr>
          <w:p w:rsidR="00891C45" w:rsidRDefault="00891C45" w:rsidP="003C6C4B"/>
        </w:tc>
      </w:tr>
      <w:tr w:rsidR="00891C45">
        <w:trPr>
          <w:trHeight w:val="1113"/>
        </w:trPr>
        <w:tc>
          <w:tcPr>
            <w:tcW w:w="4788" w:type="dxa"/>
            <w:vAlign w:val="bottom"/>
          </w:tcPr>
          <w:p w:rsidR="00891C45" w:rsidRDefault="00891C45" w:rsidP="003C6C4B">
            <w:r>
              <w:t>Petroleum and Coal Products Indusry Operations as defined by code 29 of the “Standard Industrial Classification Manual” and bituminous cement (asphalt) plants</w:t>
            </w:r>
          </w:p>
        </w:tc>
        <w:tc>
          <w:tcPr>
            <w:tcW w:w="2673" w:type="dxa"/>
            <w:vAlign w:val="bottom"/>
          </w:tcPr>
          <w:p w:rsidR="00891C45" w:rsidRDefault="00891C45" w:rsidP="003C6C4B">
            <w:r>
              <w:t>By February 1, 1973</w:t>
            </w:r>
          </w:p>
        </w:tc>
      </w:tr>
      <w:tr w:rsidR="00891C45">
        <w:tc>
          <w:tcPr>
            <w:tcW w:w="4788" w:type="dxa"/>
            <w:vAlign w:val="bottom"/>
          </w:tcPr>
          <w:p w:rsidR="00891C45" w:rsidRDefault="00891C45" w:rsidP="003C6C4B"/>
        </w:tc>
        <w:tc>
          <w:tcPr>
            <w:tcW w:w="2673" w:type="dxa"/>
            <w:vAlign w:val="bottom"/>
          </w:tcPr>
          <w:p w:rsidR="00891C45" w:rsidRDefault="00891C45" w:rsidP="003C6C4B"/>
        </w:tc>
      </w:tr>
      <w:tr w:rsidR="00891C45">
        <w:trPr>
          <w:trHeight w:val="1638"/>
        </w:trPr>
        <w:tc>
          <w:tcPr>
            <w:tcW w:w="4788" w:type="dxa"/>
            <w:vAlign w:val="bottom"/>
          </w:tcPr>
          <w:p w:rsidR="00891C45" w:rsidRDefault="00891C45" w:rsidP="003C6C4B">
            <w:r>
              <w:t>Stone, Clay and Glass Products and Paper and Allied Products Industry Operations as defined by code 32 and 26 of the “Standard Industrial Classification Manual” and all painting operations using in excess of 5,000 gallons of paint (including thinner) per year</w:t>
            </w:r>
          </w:p>
        </w:tc>
        <w:tc>
          <w:tcPr>
            <w:tcW w:w="2673" w:type="dxa"/>
            <w:vAlign w:val="bottom"/>
          </w:tcPr>
          <w:p w:rsidR="00891C45" w:rsidRDefault="00891C45" w:rsidP="003C6C4B">
            <w:r>
              <w:t>By March 1, 1973</w:t>
            </w:r>
          </w:p>
        </w:tc>
      </w:tr>
      <w:tr w:rsidR="00891C45">
        <w:tc>
          <w:tcPr>
            <w:tcW w:w="4788" w:type="dxa"/>
            <w:vAlign w:val="bottom"/>
          </w:tcPr>
          <w:p w:rsidR="00891C45" w:rsidRDefault="00891C45" w:rsidP="003C6C4B"/>
        </w:tc>
        <w:tc>
          <w:tcPr>
            <w:tcW w:w="2673" w:type="dxa"/>
            <w:vAlign w:val="bottom"/>
          </w:tcPr>
          <w:p w:rsidR="00891C45" w:rsidRDefault="00891C45" w:rsidP="003C6C4B"/>
        </w:tc>
      </w:tr>
      <w:tr w:rsidR="00891C45">
        <w:tc>
          <w:tcPr>
            <w:tcW w:w="4788" w:type="dxa"/>
            <w:vAlign w:val="bottom"/>
          </w:tcPr>
          <w:p w:rsidR="00891C45" w:rsidRDefault="00891C45" w:rsidP="003C6C4B">
            <w:r>
              <w:t>Incinerators</w:t>
            </w:r>
          </w:p>
        </w:tc>
        <w:tc>
          <w:tcPr>
            <w:tcW w:w="2673" w:type="dxa"/>
            <w:vAlign w:val="bottom"/>
          </w:tcPr>
          <w:p w:rsidR="00891C45" w:rsidRDefault="00891C45" w:rsidP="003C6C4B">
            <w:r>
              <w:t>By April 1, 1973</w:t>
            </w:r>
          </w:p>
        </w:tc>
      </w:tr>
      <w:tr w:rsidR="00891C45">
        <w:tc>
          <w:tcPr>
            <w:tcW w:w="4788" w:type="dxa"/>
            <w:vAlign w:val="bottom"/>
          </w:tcPr>
          <w:p w:rsidR="00891C45" w:rsidRDefault="00891C45" w:rsidP="003C6C4B"/>
        </w:tc>
        <w:tc>
          <w:tcPr>
            <w:tcW w:w="2673" w:type="dxa"/>
            <w:vAlign w:val="bottom"/>
          </w:tcPr>
          <w:p w:rsidR="00891C45" w:rsidRDefault="00891C45" w:rsidP="003C6C4B"/>
        </w:tc>
      </w:tr>
      <w:tr w:rsidR="00891C45">
        <w:trPr>
          <w:trHeight w:val="723"/>
        </w:trPr>
        <w:tc>
          <w:tcPr>
            <w:tcW w:w="4788" w:type="dxa"/>
            <w:vAlign w:val="bottom"/>
          </w:tcPr>
          <w:p w:rsidR="00891C45" w:rsidRDefault="00891C45" w:rsidP="003C6C4B">
            <w:r>
              <w:t>Electric, Gas, and Sanitary Services as defined by code 49 of the “Standard Industrial Classification Manual” and coal fired boilers</w:t>
            </w:r>
          </w:p>
        </w:tc>
        <w:tc>
          <w:tcPr>
            <w:tcW w:w="2673" w:type="dxa"/>
            <w:vAlign w:val="bottom"/>
          </w:tcPr>
          <w:p w:rsidR="00891C45" w:rsidRDefault="00891C45" w:rsidP="003C6C4B">
            <w:r>
              <w:t>By May 1, 1973</w:t>
            </w:r>
          </w:p>
        </w:tc>
      </w:tr>
      <w:tr w:rsidR="00891C45">
        <w:tc>
          <w:tcPr>
            <w:tcW w:w="4788" w:type="dxa"/>
            <w:vAlign w:val="bottom"/>
          </w:tcPr>
          <w:p w:rsidR="00891C45" w:rsidRDefault="00891C45" w:rsidP="003C6C4B"/>
        </w:tc>
        <w:tc>
          <w:tcPr>
            <w:tcW w:w="2673" w:type="dxa"/>
            <w:vAlign w:val="bottom"/>
          </w:tcPr>
          <w:p w:rsidR="00891C45" w:rsidRDefault="00891C45" w:rsidP="003C6C4B"/>
        </w:tc>
      </w:tr>
      <w:tr w:rsidR="00891C45">
        <w:trPr>
          <w:trHeight w:val="1380"/>
        </w:trPr>
        <w:tc>
          <w:tcPr>
            <w:tcW w:w="4788" w:type="dxa"/>
            <w:vAlign w:val="bottom"/>
          </w:tcPr>
          <w:p w:rsidR="00891C45" w:rsidRDefault="00891C45" w:rsidP="003C6C4B">
            <w:r>
              <w:lastRenderedPageBreak/>
              <w:t>Gas and Oil fired boilers and all other emission sources or air pollution control equipment not listed previously in this paragraph except equipment excluded under paragraph (i) of this Rule</w:t>
            </w:r>
          </w:p>
        </w:tc>
        <w:tc>
          <w:tcPr>
            <w:tcW w:w="2673" w:type="dxa"/>
            <w:vAlign w:val="bottom"/>
          </w:tcPr>
          <w:p w:rsidR="00891C45" w:rsidRDefault="00891C45" w:rsidP="003C6C4B">
            <w:r>
              <w:t>June 1, 1973</w:t>
            </w:r>
          </w:p>
        </w:tc>
      </w:tr>
      <w:tr w:rsidR="00891C45">
        <w:tc>
          <w:tcPr>
            <w:tcW w:w="4788" w:type="dxa"/>
            <w:vAlign w:val="bottom"/>
          </w:tcPr>
          <w:p w:rsidR="00891C45" w:rsidRDefault="00891C45" w:rsidP="003C6C4B"/>
        </w:tc>
        <w:tc>
          <w:tcPr>
            <w:tcW w:w="2673" w:type="dxa"/>
            <w:vAlign w:val="bottom"/>
          </w:tcPr>
          <w:p w:rsidR="00891C45" w:rsidRDefault="00891C45" w:rsidP="003C6C4B"/>
        </w:tc>
      </w:tr>
      <w:tr w:rsidR="00891C45">
        <w:trPr>
          <w:trHeight w:val="273"/>
        </w:trPr>
        <w:tc>
          <w:tcPr>
            <w:tcW w:w="4788" w:type="dxa"/>
            <w:vAlign w:val="bottom"/>
          </w:tcPr>
          <w:p w:rsidR="00891C45" w:rsidRDefault="00891C45" w:rsidP="003C6C4B">
            <w:r>
              <w:t>Grain-Handling and Conditioning Operations</w:t>
            </w:r>
          </w:p>
        </w:tc>
        <w:tc>
          <w:tcPr>
            <w:tcW w:w="2673" w:type="dxa"/>
            <w:vAlign w:val="bottom"/>
          </w:tcPr>
          <w:p w:rsidR="00891C45" w:rsidRDefault="00891C45" w:rsidP="003C6C4B">
            <w:r>
              <w:t>By March 1, 1976</w:t>
            </w:r>
          </w:p>
        </w:tc>
      </w:tr>
      <w:tr w:rsidR="00891C45">
        <w:tc>
          <w:tcPr>
            <w:tcW w:w="4788" w:type="dxa"/>
            <w:vAlign w:val="bottom"/>
          </w:tcPr>
          <w:p w:rsidR="00891C45" w:rsidRDefault="00891C45" w:rsidP="003C6C4B"/>
        </w:tc>
        <w:tc>
          <w:tcPr>
            <w:tcW w:w="2673" w:type="dxa"/>
            <w:vAlign w:val="bottom"/>
          </w:tcPr>
          <w:p w:rsidR="00891C45" w:rsidRDefault="00891C45" w:rsidP="003C6C4B"/>
        </w:tc>
      </w:tr>
      <w:tr w:rsidR="00891C45">
        <w:trPr>
          <w:trHeight w:val="315"/>
        </w:trPr>
        <w:tc>
          <w:tcPr>
            <w:tcW w:w="4788" w:type="dxa"/>
            <w:vAlign w:val="bottom"/>
          </w:tcPr>
          <w:p w:rsidR="00891C45" w:rsidRDefault="00891C45" w:rsidP="003C6C4B">
            <w:r>
              <w:t>Grain-Handling and Grain-Drying Operations</w:t>
            </w:r>
          </w:p>
        </w:tc>
        <w:tc>
          <w:tcPr>
            <w:tcW w:w="2673" w:type="dxa"/>
            <w:vAlign w:val="bottom"/>
          </w:tcPr>
          <w:p w:rsidR="00891C45" w:rsidRDefault="00891C45" w:rsidP="003C6C4B">
            <w:r>
              <w:t>By March 1, 1976</w:t>
            </w:r>
          </w:p>
        </w:tc>
      </w:tr>
    </w:tbl>
    <w:p w:rsidR="00891C45" w:rsidRDefault="00891C45" w:rsidP="00F72563">
      <w:pPr>
        <w:widowControl w:val="0"/>
        <w:autoSpaceDE w:val="0"/>
        <w:autoSpaceDN w:val="0"/>
        <w:adjustRightInd w:val="0"/>
        <w:ind w:left="2160" w:hanging="720"/>
      </w:pPr>
    </w:p>
    <w:p w:rsidR="00F72563" w:rsidRDefault="00F72563" w:rsidP="00F72563">
      <w:pPr>
        <w:widowControl w:val="0"/>
        <w:autoSpaceDE w:val="0"/>
        <w:autoSpaceDN w:val="0"/>
        <w:adjustRightInd w:val="0"/>
        <w:ind w:left="2160" w:hanging="720"/>
      </w:pPr>
      <w:r>
        <w:t>(B)</w:t>
      </w:r>
      <w:r>
        <w:tab/>
        <w:t>All applications for Operating Permits shall be submitted to the Agency at least 90 days prior to the date on which an Operating Permit is required. Provided, however, the Agency may waive this 90 day requirement when appropriate.  If necessary, to prevent an unmanageable workload as may be deemed appropriate, the Agency may extend the dates by which Operating Permits are require</w:t>
      </w:r>
      <w:r w:rsidR="00891C45">
        <w:t>d under Section 103(b)(2)(A) fo</w:t>
      </w:r>
      <w:r>
        <w:t>r</w:t>
      </w:r>
      <w:r w:rsidR="00891C45">
        <w:t xml:space="preserve"> </w:t>
      </w:r>
      <w:r>
        <w:t xml:space="preserve">a period not to exceed four months.  The Agency shall notify the persons affected and the Board in writing of the extension at least four months before the dates set forth in Section 103(b)(2)(A). </w:t>
      </w:r>
    </w:p>
    <w:p w:rsidR="00F72563" w:rsidRDefault="00F72563" w:rsidP="00F72563">
      <w:pPr>
        <w:widowControl w:val="0"/>
        <w:autoSpaceDE w:val="0"/>
        <w:autoSpaceDN w:val="0"/>
        <w:adjustRightInd w:val="0"/>
        <w:ind w:left="2160" w:hanging="720"/>
      </w:pPr>
      <w:r>
        <w:t>(C)</w:t>
      </w:r>
      <w:r>
        <w:tab/>
        <w:t xml:space="preserve">Nothing in this Rule shall preclude any person from applying for an Operating Permit earlier than the dates specified in part (b)(2)(A) of this Rule 103. </w:t>
      </w:r>
    </w:p>
    <w:p w:rsidR="003749DD" w:rsidRDefault="003749DD" w:rsidP="00F72563">
      <w:pPr>
        <w:widowControl w:val="0"/>
        <w:autoSpaceDE w:val="0"/>
        <w:autoSpaceDN w:val="0"/>
        <w:adjustRightInd w:val="0"/>
        <w:ind w:left="2160" w:hanging="720"/>
      </w:pPr>
    </w:p>
    <w:p w:rsidR="00F72563" w:rsidRDefault="00F72563" w:rsidP="00F72563">
      <w:pPr>
        <w:widowControl w:val="0"/>
        <w:autoSpaceDE w:val="0"/>
        <w:autoSpaceDN w:val="0"/>
        <w:adjustRightInd w:val="0"/>
        <w:ind w:left="2160" w:hanging="720"/>
        <w:jc w:val="center"/>
      </w:pPr>
      <w:r>
        <w:t>Rule 103(b)(6)(G)</w:t>
      </w:r>
    </w:p>
    <w:p w:rsidR="00F72563" w:rsidRDefault="00F72563" w:rsidP="00F72563">
      <w:pPr>
        <w:widowControl w:val="0"/>
        <w:autoSpaceDE w:val="0"/>
        <w:autoSpaceDN w:val="0"/>
        <w:adjustRightInd w:val="0"/>
        <w:ind w:left="2160" w:hanging="720"/>
        <w:jc w:val="center"/>
      </w:pPr>
    </w:p>
    <w:p w:rsidR="00F72563" w:rsidRDefault="00F72563" w:rsidP="00F72563">
      <w:pPr>
        <w:widowControl w:val="0"/>
        <w:autoSpaceDE w:val="0"/>
        <w:autoSpaceDN w:val="0"/>
        <w:adjustRightInd w:val="0"/>
      </w:pPr>
      <w:r>
        <w:t xml:space="preserve">No operating permit could be granted unless the applicant submitted proof to the Agency that: </w:t>
      </w:r>
    </w:p>
    <w:p w:rsidR="00891C45" w:rsidRDefault="00891C45" w:rsidP="00F72563">
      <w:pPr>
        <w:widowControl w:val="0"/>
        <w:autoSpaceDE w:val="0"/>
        <w:autoSpaceDN w:val="0"/>
        <w:adjustRightInd w:val="0"/>
        <w:ind w:left="1440" w:hanging="720"/>
      </w:pPr>
    </w:p>
    <w:p w:rsidR="00F72563" w:rsidRDefault="00F72563" w:rsidP="00891C45">
      <w:pPr>
        <w:widowControl w:val="0"/>
        <w:autoSpaceDE w:val="0"/>
        <w:autoSpaceDN w:val="0"/>
        <w:adjustRightInd w:val="0"/>
        <w:ind w:left="741" w:hanging="21"/>
      </w:pPr>
      <w:r>
        <w:t>if subject to a future compliance date, the applicant was</w:t>
      </w:r>
      <w:r w:rsidR="00891C45">
        <w:t xml:space="preserve">, on the effective date of this </w:t>
      </w:r>
      <w:r>
        <w:t>Chapter, and is at the time of application for an Operating Permit pursuant to Rule 103(b)(2), in compliance with any applicable emission standards of the Rules and Regulations Governing the Control of Air Pollution of the former State of Illinois Air Pollution Control Board; or was, on the effective date of this Chapter, in full compliance with any variance from those regulations granted by the Po</w:t>
      </w:r>
      <w:r w:rsidR="00891C45">
        <w:t>l</w:t>
      </w:r>
      <w:r>
        <w:t xml:space="preserve">lution Control Board; or has been, since the effective date of this Chapter, granted a variance from those regulations, and is in full compliance with such variance. </w:t>
      </w:r>
    </w:p>
    <w:p w:rsidR="00891C45" w:rsidRDefault="00891C45" w:rsidP="00891C45">
      <w:pPr>
        <w:widowControl w:val="0"/>
        <w:autoSpaceDE w:val="0"/>
        <w:autoSpaceDN w:val="0"/>
        <w:adjustRightInd w:val="0"/>
        <w:ind w:left="741" w:hanging="21"/>
      </w:pPr>
    </w:p>
    <w:p w:rsidR="00F72563" w:rsidRDefault="00F72563" w:rsidP="00F72563">
      <w:pPr>
        <w:widowControl w:val="0"/>
        <w:autoSpaceDE w:val="0"/>
        <w:autoSpaceDN w:val="0"/>
        <w:adjustRightInd w:val="0"/>
        <w:ind w:left="1440" w:hanging="720"/>
        <w:jc w:val="center"/>
      </w:pPr>
      <w:r>
        <w:t>Rule 104(g)</w:t>
      </w:r>
    </w:p>
    <w:p w:rsidR="00F72563" w:rsidRDefault="00F72563" w:rsidP="00F72563">
      <w:pPr>
        <w:widowControl w:val="0"/>
        <w:autoSpaceDE w:val="0"/>
        <w:autoSpaceDN w:val="0"/>
        <w:adjustRightInd w:val="0"/>
        <w:ind w:left="1440" w:hanging="720"/>
        <w:jc w:val="center"/>
      </w:pPr>
    </w:p>
    <w:p w:rsidR="00F72563" w:rsidRDefault="00F72563" w:rsidP="00F72563">
      <w:pPr>
        <w:widowControl w:val="0"/>
        <w:autoSpaceDE w:val="0"/>
        <w:autoSpaceDN w:val="0"/>
        <w:adjustRightInd w:val="0"/>
      </w:pPr>
      <w:r>
        <w:t xml:space="preserve">Submission and Approval Dates.  The owner or operator of an emission source subject to the following rules was required to have a Compliance Plan and a Project Completion Schedule, where applicable, approved by the Agency by the following dates.  A Compliance Plan and a Project Completion Schedule, where applicable, shall be submitted at least 90 days before the following dates. </w:t>
      </w:r>
    </w:p>
    <w:p w:rsidR="00F72563" w:rsidRDefault="00F72563" w:rsidP="00891C45">
      <w:pPr>
        <w:widowControl w:val="0"/>
        <w:autoSpaceDE w:val="0"/>
        <w:autoSpaceDN w:val="0"/>
        <w:adjustRightInd w:val="0"/>
        <w:ind w:left="720" w:hanging="720"/>
      </w:pPr>
      <w:r>
        <w:t>(1)</w:t>
      </w:r>
      <w:r>
        <w:tab/>
        <w:t>By February 1, 1980.  Gasoline Dispensing facilitie</w:t>
      </w:r>
      <w:r w:rsidR="00891C45">
        <w:t>s subject to Rule 205(p) and de</w:t>
      </w:r>
      <w:r>
        <w:t>greasers subject to Rule 205(k) loc</w:t>
      </w:r>
      <w:r w:rsidR="00891C45">
        <w:t>a</w:t>
      </w:r>
      <w:r>
        <w:t xml:space="preserve">ted in Cook, DuPage, Lake, Kane, McHenry and Will counties. </w:t>
      </w:r>
    </w:p>
    <w:p w:rsidR="00F72563" w:rsidRDefault="00F72563" w:rsidP="00891C45">
      <w:pPr>
        <w:widowControl w:val="0"/>
        <w:autoSpaceDE w:val="0"/>
        <w:autoSpaceDN w:val="0"/>
        <w:adjustRightInd w:val="0"/>
        <w:ind w:left="720" w:hanging="720"/>
      </w:pPr>
      <w:r>
        <w:lastRenderedPageBreak/>
        <w:t>(2)</w:t>
      </w:r>
      <w:r>
        <w:tab/>
        <w:t xml:space="preserve">By March 1, 1980.  Petroleum refineries subject to Rule 205(1), except (1) (4)-(10).  Gasoline dispensing facilities subject to Rule 205(p) in Boone, Madison, St. Clair, Peoria, Tazewell, Rock Island and Winnebago counties. </w:t>
      </w:r>
    </w:p>
    <w:p w:rsidR="00F72563" w:rsidRDefault="00F72563" w:rsidP="00891C45">
      <w:pPr>
        <w:widowControl w:val="0"/>
        <w:autoSpaceDE w:val="0"/>
        <w:autoSpaceDN w:val="0"/>
        <w:adjustRightInd w:val="0"/>
        <w:ind w:left="741" w:hanging="684"/>
      </w:pPr>
      <w:r>
        <w:t>(3)</w:t>
      </w:r>
      <w:r>
        <w:tab/>
        <w:t xml:space="preserve">By April 1, 1980.  Degreasers subject to Rule 205(k) located in counties other than Cook, DuPage, Lake, Kane, McHenry or Will.  Bulk gasoline plants, bulk gasoline terminals and petroleum liquid storage tanks subject to Rule 205(o), except (o) (3), located in Cook, DuPage, Lake, Kane, McHenry and Will counties. </w:t>
      </w:r>
    </w:p>
    <w:p w:rsidR="00F72563" w:rsidRDefault="00F72563" w:rsidP="00891C45">
      <w:pPr>
        <w:widowControl w:val="0"/>
        <w:autoSpaceDE w:val="0"/>
        <w:autoSpaceDN w:val="0"/>
        <w:adjustRightInd w:val="0"/>
        <w:ind w:left="741" w:hanging="684"/>
      </w:pPr>
      <w:r>
        <w:t>(4)</w:t>
      </w:r>
      <w:r>
        <w:tab/>
        <w:t xml:space="preserve">By April 1, 1980.  Coating lines subject to Rule 205(n), except (n)(1)(J), and (K).  Bulk gasoline plants, bulk gasoline terminals and petroleum liquid storage tanks subject to Rule 205(o), except (o)(3), which are located in counties other than Cook, Lake, DuPage, Kane, McHenry or Will. </w:t>
      </w:r>
    </w:p>
    <w:sectPr w:rsidR="00F72563" w:rsidSect="00F725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2563"/>
    <w:rsid w:val="003749DD"/>
    <w:rsid w:val="003C6C4B"/>
    <w:rsid w:val="005C3366"/>
    <w:rsid w:val="00650BA1"/>
    <w:rsid w:val="00891C45"/>
    <w:rsid w:val="009847D0"/>
    <w:rsid w:val="00B40179"/>
    <w:rsid w:val="00C713F8"/>
    <w:rsid w:val="00F7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91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91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