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D8" w:rsidRDefault="00F033D8" w:rsidP="00F033D8">
      <w:pPr>
        <w:widowControl w:val="0"/>
        <w:rPr>
          <w:rFonts w:eastAsia="MS Mincho"/>
          <w:b/>
          <w:bCs/>
        </w:rPr>
      </w:pPr>
      <w:bookmarkStart w:id="0" w:name="_GoBack"/>
      <w:bookmarkEnd w:id="0"/>
    </w:p>
    <w:p w:rsidR="00F4698F" w:rsidRPr="00F4698F" w:rsidRDefault="00F4698F" w:rsidP="00F033D8">
      <w:pPr>
        <w:widowControl w:val="0"/>
        <w:rPr>
          <w:rFonts w:eastAsia="MS Mincho"/>
          <w:b/>
          <w:bCs/>
        </w:rPr>
      </w:pPr>
      <w:r w:rsidRPr="00F4698F">
        <w:rPr>
          <w:rFonts w:eastAsia="MS Mincho"/>
          <w:b/>
          <w:bCs/>
        </w:rPr>
        <w:t>Section 182.202</w:t>
      </w:r>
      <w:r w:rsidR="00F033D8">
        <w:rPr>
          <w:rFonts w:eastAsia="MS Mincho"/>
          <w:b/>
          <w:bCs/>
        </w:rPr>
        <w:t xml:space="preserve">  </w:t>
      </w:r>
      <w:r w:rsidRPr="00F4698F">
        <w:rPr>
          <w:rFonts w:eastAsia="MS Mincho"/>
          <w:b/>
          <w:bCs/>
        </w:rPr>
        <w:t>Petitions</w:t>
      </w:r>
    </w:p>
    <w:p w:rsidR="00F4698F" w:rsidRPr="00F4698F" w:rsidRDefault="00F4698F" w:rsidP="00F033D8">
      <w:pPr>
        <w:widowControl w:val="0"/>
        <w:rPr>
          <w:rFonts w:eastAsia="MS Mincho"/>
        </w:rPr>
      </w:pPr>
    </w:p>
    <w:p w:rsidR="00F4698F" w:rsidRDefault="00D66E1E" w:rsidP="00D66E1E">
      <w:pPr>
        <w:widowControl w:val="0"/>
        <w:ind w:left="1440" w:hanging="720"/>
        <w:rPr>
          <w:rFonts w:eastAsia="MS Mincho"/>
        </w:rPr>
      </w:pPr>
      <w:r>
        <w:rPr>
          <w:rFonts w:eastAsia="MS Mincho"/>
          <w:iCs/>
        </w:rPr>
        <w:t>a)</w:t>
      </w:r>
      <w:r>
        <w:rPr>
          <w:rFonts w:eastAsia="MS Mincho"/>
          <w:iCs/>
        </w:rPr>
        <w:tab/>
      </w:r>
      <w:r w:rsidRPr="00D66E1E">
        <w:rPr>
          <w:rFonts w:eastAsia="MS Mincho"/>
          <w:i/>
          <w:iCs/>
        </w:rPr>
        <w:t>The</w:t>
      </w:r>
      <w:r w:rsidR="00F4698F" w:rsidRPr="00F4698F">
        <w:rPr>
          <w:rFonts w:eastAsia="MS Mincho"/>
          <w:i/>
          <w:iCs/>
        </w:rPr>
        <w:t xml:space="preserve"> manufacturer of a mercury switch or mercury relay, or a scientific instrument or piece of instructional equipment containing mercury added during its manufacture, may apply to the Agency for an exemption from the provisions of</w:t>
      </w:r>
      <w:r w:rsidR="00F4698F" w:rsidRPr="00F4698F">
        <w:rPr>
          <w:rFonts w:eastAsia="MS Mincho"/>
        </w:rPr>
        <w:t xml:space="preserve"> Section 22.23b of the </w:t>
      </w:r>
      <w:r>
        <w:rPr>
          <w:rFonts w:eastAsia="MS Mincho"/>
        </w:rPr>
        <w:t xml:space="preserve">Environmental Protection </w:t>
      </w:r>
      <w:r w:rsidR="00F4698F" w:rsidRPr="00F4698F">
        <w:rPr>
          <w:rFonts w:eastAsia="MS Mincho"/>
        </w:rPr>
        <w:t xml:space="preserve">Act </w:t>
      </w:r>
      <w:r w:rsidR="00F4698F" w:rsidRPr="00F4698F">
        <w:rPr>
          <w:rFonts w:eastAsia="MS Mincho"/>
          <w:i/>
          <w:iCs/>
        </w:rPr>
        <w:t>for one or more specific uses of the switch relay, instrument, or piece of equipment by filing a written petition with the Agency.</w:t>
      </w:r>
      <w:r w:rsidR="00F4698F" w:rsidRPr="00F4698F">
        <w:rPr>
          <w:rFonts w:eastAsia="MS Mincho"/>
        </w:rPr>
        <w:t xml:space="preserve">  (Section 22.23b(c) of the </w:t>
      </w:r>
      <w:r>
        <w:rPr>
          <w:rFonts w:eastAsia="MS Mincho"/>
        </w:rPr>
        <w:t xml:space="preserve">Environmental Protection </w:t>
      </w:r>
      <w:r w:rsidR="00F4698F" w:rsidRPr="00F4698F">
        <w:rPr>
          <w:rFonts w:eastAsia="MS Mincho"/>
        </w:rPr>
        <w:t>Act)</w:t>
      </w:r>
    </w:p>
    <w:p w:rsidR="00D66E1E" w:rsidRDefault="00D66E1E" w:rsidP="00D66E1E">
      <w:pPr>
        <w:widowControl w:val="0"/>
        <w:ind w:left="1440" w:hanging="720"/>
        <w:rPr>
          <w:rFonts w:eastAsia="MS Mincho"/>
        </w:rPr>
      </w:pPr>
    </w:p>
    <w:p w:rsidR="00D66E1E" w:rsidRPr="00687493" w:rsidRDefault="00D66E1E" w:rsidP="00D66E1E">
      <w:pPr>
        <w:ind w:left="1440" w:hanging="720"/>
        <w:rPr>
          <w:rFonts w:eastAsia="MS Mincho"/>
        </w:rPr>
      </w:pPr>
      <w:r w:rsidRPr="00687493">
        <w:rPr>
          <w:rFonts w:eastAsia="MS Mincho"/>
        </w:rPr>
        <w:t>b</w:t>
      </w:r>
      <w:r>
        <w:rPr>
          <w:rFonts w:eastAsia="MS Mincho"/>
        </w:rPr>
        <w:t>)</w:t>
      </w:r>
      <w:r>
        <w:rPr>
          <w:rFonts w:eastAsia="MS Mincho"/>
        </w:rPr>
        <w:tab/>
      </w:r>
      <w:r w:rsidRPr="00D66E1E">
        <w:rPr>
          <w:rFonts w:eastAsia="MS Mincho"/>
          <w:i/>
        </w:rPr>
        <w:t>The manufacturer of</w:t>
      </w:r>
      <w:r w:rsidRPr="00687493">
        <w:rPr>
          <w:rFonts w:eastAsia="MS Mincho"/>
        </w:rPr>
        <w:t xml:space="preserve"> a mercury-added product listed in Section 27(a) of the Mercury-added Product Prohibition Act </w:t>
      </w:r>
      <w:r w:rsidRPr="00D66E1E">
        <w:rPr>
          <w:rFonts w:eastAsia="MS Mincho"/>
          <w:i/>
        </w:rPr>
        <w:t>may apply for an exemption for one or more uses of the product by filing a written petition with the Agency.</w:t>
      </w:r>
      <w:r>
        <w:rPr>
          <w:rFonts w:eastAsia="MS Mincho"/>
        </w:rPr>
        <w:t xml:space="preserve"> </w:t>
      </w:r>
      <w:r w:rsidRPr="00687493">
        <w:rPr>
          <w:rFonts w:eastAsia="MS Mincho"/>
        </w:rPr>
        <w:t xml:space="preserve"> (Section 27(c) of the Mercury-added Product Prohibition Act)</w:t>
      </w:r>
    </w:p>
    <w:p w:rsidR="00D66E1E" w:rsidRDefault="00D66E1E" w:rsidP="00D66E1E">
      <w:pPr>
        <w:widowControl w:val="0"/>
        <w:ind w:left="1440" w:hanging="720"/>
        <w:rPr>
          <w:rFonts w:eastAsia="MS Mincho"/>
        </w:rPr>
      </w:pPr>
    </w:p>
    <w:p w:rsidR="00D66E1E" w:rsidRPr="00D55B37" w:rsidRDefault="00D66E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E5C5B">
        <w:t>10908</w:t>
      </w:r>
      <w:r w:rsidRPr="00D55B37">
        <w:t xml:space="preserve">, effective </w:t>
      </w:r>
      <w:r w:rsidR="004E5C5B">
        <w:t>July 1, 2008</w:t>
      </w:r>
      <w:r w:rsidRPr="00D55B37">
        <w:t>)</w:t>
      </w:r>
    </w:p>
    <w:sectPr w:rsidR="00D66E1E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7A" w:rsidRDefault="009B287A">
      <w:r>
        <w:separator/>
      </w:r>
    </w:p>
  </w:endnote>
  <w:endnote w:type="continuationSeparator" w:id="0">
    <w:p w:rsidR="009B287A" w:rsidRDefault="009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7A" w:rsidRDefault="009B287A">
      <w:r>
        <w:separator/>
      </w:r>
    </w:p>
  </w:footnote>
  <w:footnote w:type="continuationSeparator" w:id="0">
    <w:p w:rsidR="009B287A" w:rsidRDefault="009B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0FDB"/>
    <w:rsid w:val="00490E19"/>
    <w:rsid w:val="004D73D3"/>
    <w:rsid w:val="004E5C5B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34F97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287A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66E1E"/>
    <w:rsid w:val="00D91A64"/>
    <w:rsid w:val="00D93C67"/>
    <w:rsid w:val="00DC56B8"/>
    <w:rsid w:val="00DE13C1"/>
    <w:rsid w:val="00E7288E"/>
    <w:rsid w:val="00EB424E"/>
    <w:rsid w:val="00EE1F41"/>
    <w:rsid w:val="00F033D8"/>
    <w:rsid w:val="00F36DF0"/>
    <w:rsid w:val="00F43DEE"/>
    <w:rsid w:val="00F4698F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