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A6" w:rsidRDefault="002C4EA6" w:rsidP="002C4E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4EA6" w:rsidRDefault="002C4EA6" w:rsidP="002C4E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102.702  Disposition of Motions for Reconsideration</w:t>
      </w:r>
      <w:r>
        <w:t xml:space="preserve"> </w:t>
      </w:r>
    </w:p>
    <w:p w:rsidR="002C4EA6" w:rsidRDefault="002C4EA6" w:rsidP="002C4EA6">
      <w:pPr>
        <w:widowControl w:val="0"/>
        <w:autoSpaceDE w:val="0"/>
        <w:autoSpaceDN w:val="0"/>
        <w:adjustRightInd w:val="0"/>
      </w:pPr>
    </w:p>
    <w:p w:rsidR="002C4EA6" w:rsidRDefault="002C4EA6" w:rsidP="002C4EA6">
      <w:pPr>
        <w:widowControl w:val="0"/>
        <w:autoSpaceDE w:val="0"/>
        <w:autoSpaceDN w:val="0"/>
        <w:adjustRightInd w:val="0"/>
      </w:pPr>
      <w:r>
        <w:t xml:space="preserve">An adopted rule becomes effective upon the filing of that rule with the Secretary of State.  Therefore, the Board is precluded from allowing a motion for reconsideration of a final order adopting a rule, if that rule has been filed with the Secretary of State. </w:t>
      </w:r>
    </w:p>
    <w:sectPr w:rsidR="002C4EA6" w:rsidSect="002C4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EA6"/>
    <w:rsid w:val="002A2B80"/>
    <w:rsid w:val="002C4EA6"/>
    <w:rsid w:val="00533DCF"/>
    <w:rsid w:val="005C3366"/>
    <w:rsid w:val="00B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