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0AE" w:rsidRDefault="00C630AE" w:rsidP="00C630AE">
      <w:pPr>
        <w:widowControl w:val="0"/>
        <w:autoSpaceDE w:val="0"/>
        <w:autoSpaceDN w:val="0"/>
        <w:adjustRightInd w:val="0"/>
      </w:pPr>
      <w:bookmarkStart w:id="0" w:name="_GoBack"/>
      <w:bookmarkEnd w:id="0"/>
    </w:p>
    <w:p w:rsidR="00C630AE" w:rsidRDefault="00C630AE" w:rsidP="00C630AE">
      <w:pPr>
        <w:widowControl w:val="0"/>
        <w:autoSpaceDE w:val="0"/>
        <w:autoSpaceDN w:val="0"/>
        <w:adjustRightInd w:val="0"/>
      </w:pPr>
      <w:r>
        <w:rPr>
          <w:b/>
          <w:bCs/>
        </w:rPr>
        <w:t>Section 3050.25  Applying for a Non-Resident Library Card</w:t>
      </w:r>
      <w:r>
        <w:t xml:space="preserve"> </w:t>
      </w:r>
    </w:p>
    <w:p w:rsidR="00C630AE" w:rsidRDefault="00C630AE" w:rsidP="00C630AE">
      <w:pPr>
        <w:widowControl w:val="0"/>
        <w:autoSpaceDE w:val="0"/>
        <w:autoSpaceDN w:val="0"/>
        <w:adjustRightInd w:val="0"/>
      </w:pPr>
    </w:p>
    <w:p w:rsidR="00C630AE" w:rsidRDefault="00C630AE" w:rsidP="00C630AE">
      <w:pPr>
        <w:widowControl w:val="0"/>
        <w:autoSpaceDE w:val="0"/>
        <w:autoSpaceDN w:val="0"/>
        <w:adjustRightInd w:val="0"/>
        <w:ind w:left="1440" w:hanging="720"/>
      </w:pPr>
      <w:r>
        <w:t>a)</w:t>
      </w:r>
      <w:r>
        <w:tab/>
        <w:t xml:space="preserve">A non-resident shall apply for a non-resident library card at the closest public library.  The factor for determining the closest public library shall be the residence of the non-resident.  Non-residents shall apply at the participating public library in the school district in which the non-resident has his or her principal residence unless, due to the commonality of community interests, library services at another library that is physically closer may better serve the needs of the non-resident. </w:t>
      </w:r>
    </w:p>
    <w:p w:rsidR="00561FE1" w:rsidRDefault="00561FE1" w:rsidP="00C630AE">
      <w:pPr>
        <w:widowControl w:val="0"/>
        <w:autoSpaceDE w:val="0"/>
        <w:autoSpaceDN w:val="0"/>
        <w:adjustRightInd w:val="0"/>
        <w:ind w:left="1440" w:hanging="720"/>
      </w:pPr>
    </w:p>
    <w:p w:rsidR="00C630AE" w:rsidRDefault="00C630AE" w:rsidP="00C630AE">
      <w:pPr>
        <w:widowControl w:val="0"/>
        <w:autoSpaceDE w:val="0"/>
        <w:autoSpaceDN w:val="0"/>
        <w:adjustRightInd w:val="0"/>
        <w:ind w:left="1440" w:hanging="720"/>
      </w:pPr>
      <w:r>
        <w:t>b)</w:t>
      </w:r>
      <w:r>
        <w:tab/>
        <w:t xml:space="preserve">If there are two or more public libraries in the school district in which a non-resident resides, the participating public libraries in that school district, in cooperation with the applicable regional library systems, shall determine the appropriate library service area for non-residents to make application for a non-resident library card. </w:t>
      </w:r>
    </w:p>
    <w:p w:rsidR="00561FE1" w:rsidRDefault="00561FE1" w:rsidP="00C630AE">
      <w:pPr>
        <w:widowControl w:val="0"/>
        <w:autoSpaceDE w:val="0"/>
        <w:autoSpaceDN w:val="0"/>
        <w:adjustRightInd w:val="0"/>
        <w:ind w:left="1440" w:hanging="720"/>
      </w:pPr>
    </w:p>
    <w:p w:rsidR="00C630AE" w:rsidRDefault="00C630AE" w:rsidP="00C630AE">
      <w:pPr>
        <w:widowControl w:val="0"/>
        <w:autoSpaceDE w:val="0"/>
        <w:autoSpaceDN w:val="0"/>
        <w:adjustRightInd w:val="0"/>
        <w:ind w:left="1440" w:hanging="720"/>
      </w:pPr>
      <w:r>
        <w:t>c)</w:t>
      </w:r>
      <w:r>
        <w:tab/>
        <w:t xml:space="preserve">If there is no participating public library in the school district in which the non-resident resides, the applicable regional library systems that serve the school district shall, in cooperation with participating libraries in the general area of the school district, determine the non-resident service area.  The factor to be used for determining a non-resident service area shall be the commonality of community interests that influence the activities of all the residents of the service area. </w:t>
      </w:r>
    </w:p>
    <w:sectPr w:rsidR="00C630AE" w:rsidSect="00C630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30AE"/>
    <w:rsid w:val="00034F37"/>
    <w:rsid w:val="00122870"/>
    <w:rsid w:val="00561FE1"/>
    <w:rsid w:val="005C3366"/>
    <w:rsid w:val="007F1726"/>
    <w:rsid w:val="00C6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3050</vt:lpstr>
    </vt:vector>
  </TitlesOfParts>
  <Company>state of illinois</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3050</dc:title>
  <dc:subject/>
  <dc:creator>Illinois General Assembly</dc:creator>
  <cp:keywords/>
  <dc:description/>
  <cp:lastModifiedBy>Roberts, John</cp:lastModifiedBy>
  <cp:revision>3</cp:revision>
  <dcterms:created xsi:type="dcterms:W3CDTF">2012-06-22T01:36:00Z</dcterms:created>
  <dcterms:modified xsi:type="dcterms:W3CDTF">2012-06-22T01:36:00Z</dcterms:modified>
</cp:coreProperties>
</file>