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3F" w:rsidRDefault="00DF0D3F" w:rsidP="00DF0D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D3F" w:rsidRDefault="00DF0D3F" w:rsidP="00DF0D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3030.75  Conversion of a Cooperative Public Library System or a Public Library System to a Multitype Library System</w:t>
      </w:r>
      <w:r>
        <w:t xml:space="preserve"> </w:t>
      </w:r>
    </w:p>
    <w:p w:rsidR="00DF0D3F" w:rsidRDefault="00DF0D3F" w:rsidP="00DF0D3F">
      <w:pPr>
        <w:widowControl w:val="0"/>
        <w:autoSpaceDE w:val="0"/>
        <w:autoSpaceDN w:val="0"/>
        <w:adjustRightInd w:val="0"/>
      </w:pPr>
    </w:p>
    <w:p w:rsidR="00DF0D3F" w:rsidRDefault="00DF0D3F" w:rsidP="00DF0D3F">
      <w:pPr>
        <w:widowControl w:val="0"/>
        <w:autoSpaceDE w:val="0"/>
        <w:autoSpaceDN w:val="0"/>
        <w:adjustRightInd w:val="0"/>
      </w:pPr>
      <w:r>
        <w:t xml:space="preserve">The years of service on a library system board before the conversion of that system to a multitype library system shall be counted in computing the years of service allowable to a member of the board of a multitype library system. </w:t>
      </w:r>
    </w:p>
    <w:p w:rsidR="00DF0D3F" w:rsidRDefault="00DF0D3F" w:rsidP="00DF0D3F">
      <w:pPr>
        <w:widowControl w:val="0"/>
        <w:autoSpaceDE w:val="0"/>
        <w:autoSpaceDN w:val="0"/>
        <w:adjustRightInd w:val="0"/>
      </w:pPr>
    </w:p>
    <w:p w:rsidR="00DF0D3F" w:rsidRDefault="00DF0D3F" w:rsidP="00DF0D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7452, effective May 3, 1994) </w:t>
      </w:r>
    </w:p>
    <w:sectPr w:rsidR="00DF0D3F" w:rsidSect="00DF0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D3F"/>
    <w:rsid w:val="001D378D"/>
    <w:rsid w:val="005C3366"/>
    <w:rsid w:val="009C1035"/>
    <w:rsid w:val="00D9016C"/>
    <w:rsid w:val="00D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