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201" w:rsidRDefault="005A6201" w:rsidP="005A6201">
      <w:pPr>
        <w:widowControl w:val="0"/>
        <w:autoSpaceDE w:val="0"/>
        <w:autoSpaceDN w:val="0"/>
        <w:adjustRightInd w:val="0"/>
      </w:pPr>
    </w:p>
    <w:p w:rsidR="005A6201" w:rsidRDefault="005A6201" w:rsidP="005A6201">
      <w:pPr>
        <w:widowControl w:val="0"/>
        <w:autoSpaceDE w:val="0"/>
        <w:autoSpaceDN w:val="0"/>
        <w:adjustRightInd w:val="0"/>
      </w:pPr>
      <w:r>
        <w:rPr>
          <w:b/>
          <w:bCs/>
        </w:rPr>
        <w:t>Section 2733.30  Program Procedures</w:t>
      </w:r>
      <w:r>
        <w:t xml:space="preserve"> </w:t>
      </w:r>
    </w:p>
    <w:p w:rsidR="005A6201" w:rsidRDefault="005A6201" w:rsidP="005A6201">
      <w:pPr>
        <w:widowControl w:val="0"/>
        <w:autoSpaceDE w:val="0"/>
        <w:autoSpaceDN w:val="0"/>
        <w:adjustRightInd w:val="0"/>
      </w:pPr>
    </w:p>
    <w:p w:rsidR="005A6201" w:rsidRDefault="005A6201" w:rsidP="005A6201">
      <w:pPr>
        <w:widowControl w:val="0"/>
        <w:autoSpaceDE w:val="0"/>
        <w:autoSpaceDN w:val="0"/>
        <w:adjustRightInd w:val="0"/>
        <w:ind w:left="1440" w:hanging="720"/>
      </w:pPr>
      <w:r>
        <w:t>a)</w:t>
      </w:r>
      <w:r>
        <w:tab/>
        <w:t xml:space="preserve">An applicant must apply to ISAC for assistance under this Part.  ISAC will issue a Notice of Eligibility to each qualified applicant. </w:t>
      </w:r>
    </w:p>
    <w:p w:rsidR="005A6201" w:rsidRDefault="005A6201" w:rsidP="005A6201"/>
    <w:p w:rsidR="005A6201" w:rsidRDefault="005A6201" w:rsidP="005A6201">
      <w:pPr>
        <w:widowControl w:val="0"/>
        <w:autoSpaceDE w:val="0"/>
        <w:autoSpaceDN w:val="0"/>
        <w:adjustRightInd w:val="0"/>
        <w:ind w:left="1440" w:hanging="720"/>
      </w:pPr>
      <w:r>
        <w:t>b)</w:t>
      </w:r>
      <w:r>
        <w:tab/>
        <w:t xml:space="preserve">To receive an Illinois Veteran Grant, a qualified applicant must notify the institution of </w:t>
      </w:r>
      <w:r w:rsidR="00673FDC">
        <w:t>the qualified applicant's</w:t>
      </w:r>
      <w:r>
        <w:t xml:space="preserve"> eligibility no later than the last scheduled day of classes for the term for which a grant is requested. </w:t>
      </w:r>
    </w:p>
    <w:p w:rsidR="005A6201" w:rsidRDefault="005A6201" w:rsidP="005A6201"/>
    <w:p w:rsidR="005A6201" w:rsidRDefault="005A6201" w:rsidP="005A6201">
      <w:pPr>
        <w:widowControl w:val="0"/>
        <w:autoSpaceDE w:val="0"/>
        <w:autoSpaceDN w:val="0"/>
        <w:adjustRightInd w:val="0"/>
        <w:ind w:left="1440" w:hanging="720"/>
      </w:pPr>
      <w:r>
        <w:t>c)</w:t>
      </w:r>
      <w:r>
        <w:tab/>
        <w:t xml:space="preserve">Benefits are applicable to both undergraduate and graduate enrollment. There are no minimum credit hour enrollment requirements and benefits are applicable for noncredit courses. </w:t>
      </w:r>
    </w:p>
    <w:p w:rsidR="005A6201" w:rsidRDefault="005A6201" w:rsidP="005A6201"/>
    <w:p w:rsidR="005A6201" w:rsidRDefault="005A6201" w:rsidP="005A6201">
      <w:pPr>
        <w:widowControl w:val="0"/>
        <w:autoSpaceDE w:val="0"/>
        <w:autoSpaceDN w:val="0"/>
        <w:adjustRightInd w:val="0"/>
        <w:ind w:left="1440" w:hanging="720"/>
      </w:pPr>
      <w:r>
        <w:t>d)</w:t>
      </w:r>
      <w:r>
        <w:tab/>
        <w:t xml:space="preserve">Benefits are limited to use only at Illinois public universities and Illinois public community colleges. </w:t>
      </w:r>
    </w:p>
    <w:p w:rsidR="005A6201" w:rsidRDefault="005A6201" w:rsidP="005A6201"/>
    <w:p w:rsidR="005A6201" w:rsidRDefault="005A6201" w:rsidP="005A6201">
      <w:pPr>
        <w:widowControl w:val="0"/>
        <w:autoSpaceDE w:val="0"/>
        <w:autoSpaceDN w:val="0"/>
        <w:adjustRightInd w:val="0"/>
        <w:ind w:left="1440" w:hanging="720"/>
      </w:pPr>
      <w:r>
        <w:t>e)</w:t>
      </w:r>
      <w:r>
        <w:tab/>
        <w:t xml:space="preserve">Costs exempted by the IVG: </w:t>
      </w:r>
    </w:p>
    <w:p w:rsidR="005A6201" w:rsidRDefault="005A6201" w:rsidP="005A6201"/>
    <w:p w:rsidR="005A6201" w:rsidRDefault="005A6201" w:rsidP="005A6201">
      <w:pPr>
        <w:widowControl w:val="0"/>
        <w:autoSpaceDE w:val="0"/>
        <w:autoSpaceDN w:val="0"/>
        <w:adjustRightInd w:val="0"/>
        <w:ind w:left="2160" w:hanging="720"/>
      </w:pPr>
      <w:r>
        <w:t>1)</w:t>
      </w:r>
      <w:r>
        <w:tab/>
        <w:t xml:space="preserve">The recipient is exempt from paying costs as follows: </w:t>
      </w:r>
    </w:p>
    <w:p w:rsidR="005A6201" w:rsidRDefault="005A6201" w:rsidP="005A6201"/>
    <w:p w:rsidR="005A6201" w:rsidRDefault="005A6201" w:rsidP="005A6201">
      <w:pPr>
        <w:widowControl w:val="0"/>
        <w:autoSpaceDE w:val="0"/>
        <w:autoSpaceDN w:val="0"/>
        <w:adjustRightInd w:val="0"/>
        <w:ind w:left="2880" w:hanging="720"/>
      </w:pPr>
      <w:r>
        <w:t>A)</w:t>
      </w:r>
      <w:r>
        <w:tab/>
        <w:t xml:space="preserve">tuition and fees that meet the definition of tuition (see 23 Ill. Adm. Code 2700.20); </w:t>
      </w:r>
    </w:p>
    <w:p w:rsidR="005A6201" w:rsidRDefault="005A6201" w:rsidP="005A6201"/>
    <w:p w:rsidR="005A6201" w:rsidRDefault="005A6201" w:rsidP="005A6201">
      <w:pPr>
        <w:widowControl w:val="0"/>
        <w:autoSpaceDE w:val="0"/>
        <w:autoSpaceDN w:val="0"/>
        <w:adjustRightInd w:val="0"/>
        <w:ind w:left="2880" w:hanging="720"/>
      </w:pPr>
      <w:r>
        <w:t>B)</w:t>
      </w:r>
      <w:r>
        <w:tab/>
        <w:t xml:space="preserve">mandatory fees (see 23 Ill. Adm. Code 2700.20). </w:t>
      </w:r>
    </w:p>
    <w:p w:rsidR="005A6201" w:rsidRDefault="005A6201" w:rsidP="005A6201">
      <w:pPr>
        <w:widowControl w:val="0"/>
        <w:autoSpaceDE w:val="0"/>
        <w:autoSpaceDN w:val="0"/>
        <w:adjustRightInd w:val="0"/>
      </w:pPr>
    </w:p>
    <w:p w:rsidR="005A6201" w:rsidRPr="00D247EB" w:rsidRDefault="005A6201" w:rsidP="005A6201">
      <w:pPr>
        <w:widowControl w:val="0"/>
        <w:autoSpaceDE w:val="0"/>
        <w:autoSpaceDN w:val="0"/>
        <w:adjustRightInd w:val="0"/>
        <w:ind w:left="2160" w:hanging="720"/>
      </w:pPr>
      <w:r>
        <w:t>2)</w:t>
      </w:r>
      <w:r>
        <w:tab/>
      </w:r>
      <w:r w:rsidRPr="00D247EB">
        <w:t xml:space="preserve">A qualified applicant who has previously received benefits under this Part for a non-mandatory fee shall continue to receive benefits covering </w:t>
      </w:r>
      <w:r w:rsidR="003157A1">
        <w:t>tho</w:t>
      </w:r>
      <w:r w:rsidR="00B00721">
        <w:t>se</w:t>
      </w:r>
      <w:r w:rsidRPr="00D247EB">
        <w:t xml:space="preserve"> fees while enrolled in a continuous program of study.  The qualified applicant shall no longer receive a grant covering non-mandatory fees if </w:t>
      </w:r>
      <w:r w:rsidR="00673FDC">
        <w:t>the applicant</w:t>
      </w:r>
      <w:r w:rsidRPr="00D247EB">
        <w:t xml:space="preserve"> fails to enroll during an academic term, unless federal active duty</w:t>
      </w:r>
      <w:r w:rsidR="00673FDC">
        <w:t xml:space="preserve"> is being served</w:t>
      </w:r>
      <w:r w:rsidRPr="00D247EB">
        <w:t>.  The non-mandatory fees include the following:</w:t>
      </w:r>
    </w:p>
    <w:p w:rsidR="005A6201" w:rsidRDefault="005A6201" w:rsidP="005A6201"/>
    <w:p w:rsidR="005A6201" w:rsidRPr="00D247EB" w:rsidRDefault="005A6201" w:rsidP="005A6201">
      <w:pPr>
        <w:ind w:left="1440" w:firstLine="720"/>
      </w:pPr>
      <w:r w:rsidRPr="00D247EB">
        <w:t>A)</w:t>
      </w:r>
      <w:r>
        <w:tab/>
      </w:r>
      <w:r w:rsidRPr="00D247EB">
        <w:t>instructional fees not meeting the definition of</w:t>
      </w:r>
      <w:r>
        <w:t xml:space="preserve"> tuition</w:t>
      </w:r>
      <w:r w:rsidRPr="00D247EB">
        <w:t>;</w:t>
      </w:r>
    </w:p>
    <w:p w:rsidR="005A6201" w:rsidRDefault="005A6201" w:rsidP="005A6201"/>
    <w:p w:rsidR="005A6201" w:rsidRPr="00D247EB" w:rsidRDefault="005A6201" w:rsidP="005A6201">
      <w:pPr>
        <w:ind w:left="1440" w:firstLine="720"/>
      </w:pPr>
      <w:r w:rsidRPr="00D247EB">
        <w:t>B)</w:t>
      </w:r>
      <w:r>
        <w:tab/>
      </w:r>
      <w:r w:rsidRPr="00D247EB">
        <w:t>application fees;</w:t>
      </w:r>
    </w:p>
    <w:p w:rsidR="005A6201" w:rsidRDefault="005A6201" w:rsidP="005A6201"/>
    <w:p w:rsidR="005A6201" w:rsidRPr="00D247EB" w:rsidRDefault="005A6201" w:rsidP="005A6201">
      <w:pPr>
        <w:ind w:left="1440" w:firstLine="720"/>
      </w:pPr>
      <w:r>
        <w:t>C)</w:t>
      </w:r>
      <w:r>
        <w:tab/>
      </w:r>
      <w:r w:rsidRPr="00D247EB">
        <w:t>graduation and transcript fees;</w:t>
      </w:r>
    </w:p>
    <w:p w:rsidR="005A6201" w:rsidRDefault="005A6201" w:rsidP="005A6201"/>
    <w:p w:rsidR="005A6201" w:rsidRPr="00D247EB" w:rsidRDefault="005A6201" w:rsidP="005A6201">
      <w:pPr>
        <w:ind w:left="2880" w:hanging="720"/>
      </w:pPr>
      <w:r>
        <w:t>D)</w:t>
      </w:r>
      <w:r>
        <w:tab/>
      </w:r>
      <w:r w:rsidRPr="00D247EB">
        <w:t>proficiency exam, College Level Exam Program (CLEP), placement exam and similar fees;</w:t>
      </w:r>
    </w:p>
    <w:p w:rsidR="005A6201" w:rsidRDefault="005A6201" w:rsidP="005A6201"/>
    <w:p w:rsidR="005A6201" w:rsidRPr="00D247EB" w:rsidRDefault="005A6201" w:rsidP="005A6201">
      <w:pPr>
        <w:ind w:left="1440" w:firstLine="720"/>
      </w:pPr>
      <w:r>
        <w:t>E)</w:t>
      </w:r>
      <w:r>
        <w:tab/>
      </w:r>
      <w:r w:rsidRPr="00D247EB">
        <w:t>off-campus and other extension course fees;</w:t>
      </w:r>
    </w:p>
    <w:p w:rsidR="005A6201" w:rsidRDefault="005A6201" w:rsidP="005A6201"/>
    <w:p w:rsidR="005A6201" w:rsidRPr="00D247EB" w:rsidRDefault="005A6201" w:rsidP="005A6201">
      <w:pPr>
        <w:ind w:left="1440" w:firstLine="720"/>
      </w:pPr>
      <w:r>
        <w:t>F)</w:t>
      </w:r>
      <w:r>
        <w:tab/>
      </w:r>
      <w:r w:rsidRPr="00D247EB">
        <w:t>air flight instructor and athletic fees; and</w:t>
      </w:r>
    </w:p>
    <w:p w:rsidR="005A6201" w:rsidRDefault="005A6201" w:rsidP="005A6201"/>
    <w:p w:rsidR="005A6201" w:rsidRPr="00D247EB" w:rsidRDefault="005A6201" w:rsidP="005A6201">
      <w:pPr>
        <w:ind w:left="1440" w:firstLine="720"/>
      </w:pPr>
      <w:r>
        <w:lastRenderedPageBreak/>
        <w:t>G)</w:t>
      </w:r>
      <w:r>
        <w:tab/>
      </w:r>
      <w:r w:rsidRPr="00D247EB">
        <w:t>matriculation, service and other registration type fees.</w:t>
      </w:r>
    </w:p>
    <w:p w:rsidR="005A6201" w:rsidRDefault="005A6201" w:rsidP="005A6201"/>
    <w:p w:rsidR="005A6201" w:rsidRDefault="005A6201" w:rsidP="005A6201">
      <w:pPr>
        <w:widowControl w:val="0"/>
        <w:autoSpaceDE w:val="0"/>
        <w:autoSpaceDN w:val="0"/>
        <w:adjustRightInd w:val="0"/>
        <w:ind w:left="1440" w:hanging="720"/>
      </w:pPr>
      <w:r>
        <w:t>f)</w:t>
      </w:r>
      <w:r>
        <w:tab/>
        <w:t>Recipients attending out-of-district community colleges receive tuition and fee benefits equivalent to those at the in-district rate.  Recipients shall not be responsible for paying the difference between in-district and out-of-district tuition.  Institutions are permitted to require documentation of residency in order to determine in-district or out-of-district payment.</w:t>
      </w:r>
    </w:p>
    <w:p w:rsidR="005A6201" w:rsidRDefault="005A6201" w:rsidP="005A6201"/>
    <w:p w:rsidR="005A6201" w:rsidRDefault="005A6201" w:rsidP="005A6201">
      <w:pPr>
        <w:widowControl w:val="0"/>
        <w:autoSpaceDE w:val="0"/>
        <w:autoSpaceDN w:val="0"/>
        <w:adjustRightInd w:val="0"/>
        <w:ind w:left="1440" w:hanging="720"/>
      </w:pPr>
      <w:r>
        <w:t>g)</w:t>
      </w:r>
      <w:r>
        <w:tab/>
        <w:t xml:space="preserve">Benefits are limited to the equivalent of four academic years of full-time enrollment, which is measured in eligibility units.  Recipients may accumulate up to 120 eligibility units. </w:t>
      </w:r>
    </w:p>
    <w:p w:rsidR="005A6201" w:rsidRDefault="005A6201" w:rsidP="005A6201"/>
    <w:p w:rsidR="005A6201" w:rsidRDefault="005A6201" w:rsidP="005A6201">
      <w:pPr>
        <w:widowControl w:val="0"/>
        <w:autoSpaceDE w:val="0"/>
        <w:autoSpaceDN w:val="0"/>
        <w:adjustRightInd w:val="0"/>
        <w:ind w:left="2160" w:hanging="720"/>
      </w:pPr>
      <w:r>
        <w:t>1)</w:t>
      </w:r>
      <w:r>
        <w:tab/>
        <w:t xml:space="preserve">To determine the amount of eligibility a recipient has used, credit hours (and noncredit hours for which benefits are used) will be converted to eligibility units according to the following table: </w:t>
      </w:r>
    </w:p>
    <w:p w:rsidR="005A6201" w:rsidRDefault="005A6201" w:rsidP="005A6201"/>
    <w:tbl>
      <w:tblPr>
        <w:tblW w:w="0" w:type="auto"/>
        <w:tblInd w:w="2352" w:type="dxa"/>
        <w:tblBorders>
          <w:left w:val="single" w:sz="12" w:space="4" w:color="auto"/>
          <w:bottom w:val="none" w:sz="24" w:space="0" w:color="auto"/>
          <w:right w:val="none" w:sz="44" w:space="0" w:color="auto"/>
        </w:tblBorders>
        <w:tblLayout w:type="fixed"/>
        <w:tblCellMar>
          <w:left w:w="480" w:type="dxa"/>
          <w:right w:w="480" w:type="dxa"/>
        </w:tblCellMar>
        <w:tblLook w:val="0000" w:firstRow="0" w:lastRow="0" w:firstColumn="0" w:lastColumn="0" w:noHBand="0" w:noVBand="0"/>
      </w:tblPr>
      <w:tblGrid>
        <w:gridCol w:w="2802"/>
        <w:gridCol w:w="2451"/>
        <w:gridCol w:w="1995"/>
      </w:tblGrid>
      <w:tr w:rsidR="005A6201" w:rsidTr="004C0275">
        <w:tc>
          <w:tcPr>
            <w:tcW w:w="2802" w:type="dxa"/>
            <w:tcBorders>
              <w:top w:val="nil"/>
              <w:left w:val="nil"/>
              <w:bottom w:val="nil"/>
              <w:right w:val="nil"/>
            </w:tcBorders>
          </w:tcPr>
          <w:p w:rsidR="005A6201" w:rsidRDefault="005A6201" w:rsidP="004C0275">
            <w:pPr>
              <w:widowControl w:val="0"/>
              <w:autoSpaceDE w:val="0"/>
              <w:autoSpaceDN w:val="0"/>
              <w:adjustRightInd w:val="0"/>
              <w:ind w:left="-480" w:right="-480"/>
              <w:jc w:val="center"/>
            </w:pPr>
            <w:r>
              <w:t>Number of Hours</w:t>
            </w:r>
          </w:p>
        </w:tc>
        <w:tc>
          <w:tcPr>
            <w:tcW w:w="2451" w:type="dxa"/>
            <w:tcBorders>
              <w:top w:val="nil"/>
              <w:left w:val="nil"/>
              <w:bottom w:val="nil"/>
              <w:right w:val="nil"/>
            </w:tcBorders>
          </w:tcPr>
          <w:p w:rsidR="005A6201" w:rsidRDefault="005A6201" w:rsidP="004C0275">
            <w:pPr>
              <w:widowControl w:val="0"/>
              <w:autoSpaceDE w:val="0"/>
              <w:autoSpaceDN w:val="0"/>
              <w:adjustRightInd w:val="0"/>
              <w:ind w:left="-480" w:right="-480"/>
              <w:jc w:val="center"/>
            </w:pPr>
            <w:r>
              <w:t>Semester Term</w:t>
            </w:r>
          </w:p>
        </w:tc>
        <w:tc>
          <w:tcPr>
            <w:tcW w:w="1995" w:type="dxa"/>
            <w:tcBorders>
              <w:top w:val="nil"/>
              <w:left w:val="nil"/>
              <w:bottom w:val="nil"/>
              <w:right w:val="nil"/>
            </w:tcBorders>
          </w:tcPr>
          <w:p w:rsidR="005A6201" w:rsidRDefault="005A6201" w:rsidP="004C0275">
            <w:pPr>
              <w:widowControl w:val="0"/>
              <w:autoSpaceDE w:val="0"/>
              <w:autoSpaceDN w:val="0"/>
              <w:adjustRightInd w:val="0"/>
              <w:ind w:left="-480" w:right="-480"/>
              <w:jc w:val="center"/>
            </w:pPr>
            <w:r>
              <w:t>Quarter Term</w:t>
            </w:r>
          </w:p>
        </w:tc>
      </w:tr>
      <w:tr w:rsidR="005A6201" w:rsidTr="004C0275">
        <w:tc>
          <w:tcPr>
            <w:tcW w:w="2802" w:type="dxa"/>
            <w:tcBorders>
              <w:top w:val="nil"/>
              <w:left w:val="nil"/>
              <w:bottom w:val="nil"/>
              <w:right w:val="nil"/>
            </w:tcBorders>
          </w:tcPr>
          <w:p w:rsidR="005A6201" w:rsidRDefault="005A6201" w:rsidP="004C0275">
            <w:pPr>
              <w:widowControl w:val="0"/>
              <w:autoSpaceDE w:val="0"/>
              <w:autoSpaceDN w:val="0"/>
              <w:adjustRightInd w:val="0"/>
              <w:ind w:left="-480" w:right="-480"/>
              <w:jc w:val="center"/>
            </w:pPr>
          </w:p>
        </w:tc>
        <w:tc>
          <w:tcPr>
            <w:tcW w:w="2451" w:type="dxa"/>
            <w:tcBorders>
              <w:top w:val="nil"/>
              <w:left w:val="nil"/>
              <w:bottom w:val="nil"/>
              <w:right w:val="nil"/>
            </w:tcBorders>
          </w:tcPr>
          <w:p w:rsidR="005A6201" w:rsidRDefault="005A6201" w:rsidP="004C0275">
            <w:pPr>
              <w:widowControl w:val="0"/>
              <w:autoSpaceDE w:val="0"/>
              <w:autoSpaceDN w:val="0"/>
              <w:adjustRightInd w:val="0"/>
              <w:ind w:left="-480" w:right="-480"/>
              <w:jc w:val="center"/>
            </w:pPr>
          </w:p>
        </w:tc>
        <w:tc>
          <w:tcPr>
            <w:tcW w:w="1995" w:type="dxa"/>
            <w:tcBorders>
              <w:top w:val="nil"/>
              <w:left w:val="nil"/>
              <w:bottom w:val="nil"/>
              <w:right w:val="nil"/>
            </w:tcBorders>
          </w:tcPr>
          <w:p w:rsidR="005A6201" w:rsidRDefault="005A6201" w:rsidP="004C0275">
            <w:pPr>
              <w:widowControl w:val="0"/>
              <w:autoSpaceDE w:val="0"/>
              <w:autoSpaceDN w:val="0"/>
              <w:adjustRightInd w:val="0"/>
              <w:ind w:left="-480" w:right="-480"/>
              <w:jc w:val="center"/>
            </w:pPr>
          </w:p>
        </w:tc>
      </w:tr>
      <w:tr w:rsidR="005A6201" w:rsidTr="004C0275">
        <w:tc>
          <w:tcPr>
            <w:tcW w:w="2802" w:type="dxa"/>
            <w:tcBorders>
              <w:top w:val="nil"/>
              <w:left w:val="nil"/>
              <w:bottom w:val="nil"/>
              <w:right w:val="nil"/>
            </w:tcBorders>
          </w:tcPr>
          <w:p w:rsidR="005A6201" w:rsidRDefault="005A6201" w:rsidP="004C0275">
            <w:pPr>
              <w:widowControl w:val="0"/>
              <w:autoSpaceDE w:val="0"/>
              <w:autoSpaceDN w:val="0"/>
              <w:adjustRightInd w:val="0"/>
              <w:ind w:left="-480" w:right="-480"/>
              <w:jc w:val="center"/>
            </w:pPr>
            <w:r>
              <w:t>12 or more hours</w:t>
            </w:r>
          </w:p>
        </w:tc>
        <w:tc>
          <w:tcPr>
            <w:tcW w:w="2451" w:type="dxa"/>
            <w:tcBorders>
              <w:top w:val="nil"/>
              <w:left w:val="nil"/>
              <w:bottom w:val="nil"/>
              <w:right w:val="nil"/>
            </w:tcBorders>
          </w:tcPr>
          <w:p w:rsidR="005A6201" w:rsidRDefault="005A6201" w:rsidP="004C0275">
            <w:pPr>
              <w:widowControl w:val="0"/>
              <w:autoSpaceDE w:val="0"/>
              <w:autoSpaceDN w:val="0"/>
              <w:adjustRightInd w:val="0"/>
              <w:ind w:left="-480" w:right="-480"/>
              <w:jc w:val="center"/>
            </w:pPr>
            <w:r>
              <w:t>12 units</w:t>
            </w:r>
          </w:p>
        </w:tc>
        <w:tc>
          <w:tcPr>
            <w:tcW w:w="1995" w:type="dxa"/>
            <w:tcBorders>
              <w:top w:val="nil"/>
              <w:left w:val="nil"/>
              <w:bottom w:val="nil"/>
              <w:right w:val="nil"/>
            </w:tcBorders>
          </w:tcPr>
          <w:p w:rsidR="005A6201" w:rsidRDefault="005A6201" w:rsidP="004C0275">
            <w:pPr>
              <w:widowControl w:val="0"/>
              <w:autoSpaceDE w:val="0"/>
              <w:autoSpaceDN w:val="0"/>
              <w:adjustRightInd w:val="0"/>
              <w:ind w:left="-480" w:right="-480"/>
              <w:jc w:val="center"/>
            </w:pPr>
            <w:r>
              <w:t>8 units</w:t>
            </w:r>
          </w:p>
        </w:tc>
      </w:tr>
      <w:tr w:rsidR="005A6201" w:rsidTr="004C0275">
        <w:tc>
          <w:tcPr>
            <w:tcW w:w="2802" w:type="dxa"/>
            <w:tcBorders>
              <w:top w:val="nil"/>
              <w:left w:val="nil"/>
              <w:bottom w:val="nil"/>
              <w:right w:val="nil"/>
            </w:tcBorders>
          </w:tcPr>
          <w:p w:rsidR="005A6201" w:rsidRDefault="005A6201" w:rsidP="004C0275">
            <w:pPr>
              <w:widowControl w:val="0"/>
              <w:autoSpaceDE w:val="0"/>
              <w:autoSpaceDN w:val="0"/>
              <w:adjustRightInd w:val="0"/>
              <w:ind w:left="-480" w:right="-480"/>
              <w:jc w:val="center"/>
            </w:pPr>
            <w:r>
              <w:t>9 - 11.99 hours</w:t>
            </w:r>
          </w:p>
        </w:tc>
        <w:tc>
          <w:tcPr>
            <w:tcW w:w="2451" w:type="dxa"/>
            <w:tcBorders>
              <w:top w:val="nil"/>
              <w:left w:val="nil"/>
              <w:bottom w:val="nil"/>
              <w:right w:val="nil"/>
            </w:tcBorders>
          </w:tcPr>
          <w:p w:rsidR="005A6201" w:rsidRDefault="005A6201" w:rsidP="004C0275">
            <w:pPr>
              <w:widowControl w:val="0"/>
              <w:autoSpaceDE w:val="0"/>
              <w:autoSpaceDN w:val="0"/>
              <w:adjustRightInd w:val="0"/>
              <w:ind w:left="-480" w:right="-480"/>
              <w:jc w:val="center"/>
            </w:pPr>
            <w:r>
              <w:t>9 units</w:t>
            </w:r>
          </w:p>
        </w:tc>
        <w:tc>
          <w:tcPr>
            <w:tcW w:w="1995" w:type="dxa"/>
            <w:tcBorders>
              <w:top w:val="nil"/>
              <w:left w:val="nil"/>
              <w:bottom w:val="nil"/>
              <w:right w:val="nil"/>
            </w:tcBorders>
          </w:tcPr>
          <w:p w:rsidR="005A6201" w:rsidRDefault="005A6201" w:rsidP="004C0275">
            <w:pPr>
              <w:widowControl w:val="0"/>
              <w:autoSpaceDE w:val="0"/>
              <w:autoSpaceDN w:val="0"/>
              <w:adjustRightInd w:val="0"/>
              <w:ind w:left="-480" w:right="-480"/>
              <w:jc w:val="center"/>
            </w:pPr>
            <w:r>
              <w:t>6 units</w:t>
            </w:r>
          </w:p>
        </w:tc>
      </w:tr>
      <w:tr w:rsidR="005A6201" w:rsidTr="004C0275">
        <w:tc>
          <w:tcPr>
            <w:tcW w:w="2802" w:type="dxa"/>
            <w:tcBorders>
              <w:top w:val="nil"/>
              <w:left w:val="nil"/>
              <w:bottom w:val="nil"/>
              <w:right w:val="nil"/>
            </w:tcBorders>
          </w:tcPr>
          <w:p w:rsidR="005A6201" w:rsidRDefault="005A6201" w:rsidP="004C0275">
            <w:pPr>
              <w:widowControl w:val="0"/>
              <w:autoSpaceDE w:val="0"/>
              <w:autoSpaceDN w:val="0"/>
              <w:adjustRightInd w:val="0"/>
              <w:ind w:left="-480" w:right="-480"/>
              <w:jc w:val="center"/>
            </w:pPr>
            <w:r>
              <w:t>6 - 8.99 hours</w:t>
            </w:r>
          </w:p>
        </w:tc>
        <w:tc>
          <w:tcPr>
            <w:tcW w:w="2451" w:type="dxa"/>
            <w:tcBorders>
              <w:top w:val="nil"/>
              <w:left w:val="nil"/>
              <w:bottom w:val="nil"/>
              <w:right w:val="nil"/>
            </w:tcBorders>
          </w:tcPr>
          <w:p w:rsidR="005A6201" w:rsidRDefault="005A6201" w:rsidP="004C0275">
            <w:pPr>
              <w:widowControl w:val="0"/>
              <w:autoSpaceDE w:val="0"/>
              <w:autoSpaceDN w:val="0"/>
              <w:adjustRightInd w:val="0"/>
              <w:ind w:left="-480" w:right="-480"/>
              <w:jc w:val="center"/>
            </w:pPr>
            <w:r>
              <w:t>6 units</w:t>
            </w:r>
          </w:p>
        </w:tc>
        <w:tc>
          <w:tcPr>
            <w:tcW w:w="1995" w:type="dxa"/>
            <w:tcBorders>
              <w:top w:val="nil"/>
              <w:left w:val="nil"/>
              <w:bottom w:val="nil"/>
              <w:right w:val="nil"/>
            </w:tcBorders>
          </w:tcPr>
          <w:p w:rsidR="005A6201" w:rsidRDefault="005A6201" w:rsidP="004C0275">
            <w:pPr>
              <w:widowControl w:val="0"/>
              <w:autoSpaceDE w:val="0"/>
              <w:autoSpaceDN w:val="0"/>
              <w:adjustRightInd w:val="0"/>
              <w:ind w:left="-480" w:right="-480"/>
              <w:jc w:val="center"/>
            </w:pPr>
            <w:r>
              <w:t>4 units</w:t>
            </w:r>
          </w:p>
        </w:tc>
      </w:tr>
      <w:tr w:rsidR="005A6201" w:rsidTr="004C0275">
        <w:tc>
          <w:tcPr>
            <w:tcW w:w="2802" w:type="dxa"/>
            <w:tcBorders>
              <w:top w:val="nil"/>
              <w:left w:val="nil"/>
              <w:bottom w:val="nil"/>
              <w:right w:val="nil"/>
            </w:tcBorders>
          </w:tcPr>
          <w:p w:rsidR="005A6201" w:rsidRDefault="005A6201" w:rsidP="004C0275">
            <w:pPr>
              <w:widowControl w:val="0"/>
              <w:autoSpaceDE w:val="0"/>
              <w:autoSpaceDN w:val="0"/>
              <w:adjustRightInd w:val="0"/>
              <w:ind w:left="-480" w:right="-480"/>
              <w:jc w:val="center"/>
            </w:pPr>
            <w:r>
              <w:t>3 - 5.99 hours</w:t>
            </w:r>
          </w:p>
        </w:tc>
        <w:tc>
          <w:tcPr>
            <w:tcW w:w="2451" w:type="dxa"/>
            <w:tcBorders>
              <w:top w:val="nil"/>
              <w:left w:val="nil"/>
              <w:bottom w:val="nil"/>
              <w:right w:val="nil"/>
            </w:tcBorders>
          </w:tcPr>
          <w:p w:rsidR="005A6201" w:rsidRDefault="005A6201" w:rsidP="004C0275">
            <w:pPr>
              <w:widowControl w:val="0"/>
              <w:autoSpaceDE w:val="0"/>
              <w:autoSpaceDN w:val="0"/>
              <w:adjustRightInd w:val="0"/>
              <w:ind w:left="-480" w:right="-480"/>
              <w:jc w:val="center"/>
            </w:pPr>
            <w:r>
              <w:t>3 units</w:t>
            </w:r>
          </w:p>
        </w:tc>
        <w:tc>
          <w:tcPr>
            <w:tcW w:w="1995" w:type="dxa"/>
            <w:tcBorders>
              <w:top w:val="nil"/>
              <w:left w:val="nil"/>
              <w:bottom w:val="nil"/>
              <w:right w:val="nil"/>
            </w:tcBorders>
          </w:tcPr>
          <w:p w:rsidR="005A6201" w:rsidRDefault="005A6201" w:rsidP="004C0275">
            <w:pPr>
              <w:widowControl w:val="0"/>
              <w:autoSpaceDE w:val="0"/>
              <w:autoSpaceDN w:val="0"/>
              <w:adjustRightInd w:val="0"/>
              <w:ind w:left="-480" w:right="-480"/>
              <w:jc w:val="center"/>
            </w:pPr>
            <w:r>
              <w:t>2 units</w:t>
            </w:r>
          </w:p>
        </w:tc>
      </w:tr>
      <w:tr w:rsidR="005A6201" w:rsidTr="004C0275">
        <w:tc>
          <w:tcPr>
            <w:tcW w:w="2802" w:type="dxa"/>
            <w:tcBorders>
              <w:top w:val="nil"/>
              <w:left w:val="nil"/>
              <w:bottom w:val="nil"/>
              <w:right w:val="nil"/>
            </w:tcBorders>
          </w:tcPr>
          <w:p w:rsidR="005A6201" w:rsidRDefault="005A6201" w:rsidP="004C0275">
            <w:pPr>
              <w:widowControl w:val="0"/>
              <w:autoSpaceDE w:val="0"/>
              <w:autoSpaceDN w:val="0"/>
              <w:adjustRightInd w:val="0"/>
              <w:ind w:left="-480" w:right="-480"/>
              <w:jc w:val="center"/>
            </w:pPr>
            <w:r>
              <w:t>up to 2.99 hours</w:t>
            </w:r>
          </w:p>
        </w:tc>
        <w:tc>
          <w:tcPr>
            <w:tcW w:w="2451" w:type="dxa"/>
            <w:tcBorders>
              <w:top w:val="nil"/>
              <w:left w:val="nil"/>
              <w:bottom w:val="nil"/>
              <w:right w:val="nil"/>
            </w:tcBorders>
          </w:tcPr>
          <w:p w:rsidR="005A6201" w:rsidRDefault="005A6201" w:rsidP="004C0275">
            <w:pPr>
              <w:widowControl w:val="0"/>
              <w:autoSpaceDE w:val="0"/>
              <w:autoSpaceDN w:val="0"/>
              <w:adjustRightInd w:val="0"/>
              <w:ind w:left="-480" w:right="-480"/>
              <w:jc w:val="center"/>
            </w:pPr>
            <w:r>
              <w:t>1 unit</w:t>
            </w:r>
          </w:p>
        </w:tc>
        <w:tc>
          <w:tcPr>
            <w:tcW w:w="1995" w:type="dxa"/>
            <w:tcBorders>
              <w:top w:val="nil"/>
              <w:left w:val="nil"/>
              <w:bottom w:val="nil"/>
              <w:right w:val="nil"/>
            </w:tcBorders>
          </w:tcPr>
          <w:p w:rsidR="005A6201" w:rsidRDefault="005A6201" w:rsidP="004C0275">
            <w:pPr>
              <w:widowControl w:val="0"/>
              <w:autoSpaceDE w:val="0"/>
              <w:autoSpaceDN w:val="0"/>
              <w:adjustRightInd w:val="0"/>
              <w:ind w:left="-480" w:right="-480"/>
              <w:jc w:val="center"/>
            </w:pPr>
            <w:r>
              <w:t>1 unit</w:t>
            </w:r>
          </w:p>
        </w:tc>
      </w:tr>
    </w:tbl>
    <w:p w:rsidR="005A6201" w:rsidRDefault="005A6201" w:rsidP="005A6201"/>
    <w:p w:rsidR="005A6201" w:rsidRPr="00020DB6" w:rsidRDefault="005A6201" w:rsidP="005A6201">
      <w:pPr>
        <w:autoSpaceDE w:val="0"/>
        <w:autoSpaceDN w:val="0"/>
        <w:adjustRightInd w:val="0"/>
        <w:ind w:left="2160" w:hanging="720"/>
        <w:rPr>
          <w:snapToGrid w:val="0"/>
          <w:szCs w:val="20"/>
        </w:rPr>
      </w:pPr>
      <w:r>
        <w:t>2)</w:t>
      </w:r>
      <w:r>
        <w:tab/>
      </w:r>
      <w:r w:rsidRPr="00020DB6">
        <w:rPr>
          <w:snapToGrid w:val="0"/>
          <w:szCs w:val="20"/>
        </w:rPr>
        <w:t>When a qualified applicant becomes eligible to receive educational assistance under Section 2733</w:t>
      </w:r>
      <w:r>
        <w:rPr>
          <w:snapToGrid w:val="0"/>
          <w:szCs w:val="20"/>
        </w:rPr>
        <w:t>.</w:t>
      </w:r>
      <w:r w:rsidRPr="00020DB6">
        <w:rPr>
          <w:snapToGrid w:val="0"/>
          <w:szCs w:val="20"/>
        </w:rPr>
        <w:t>40(b), the number of units used will be calculated as follows:</w:t>
      </w:r>
    </w:p>
    <w:p w:rsidR="005A6201" w:rsidRPr="00020DB6" w:rsidRDefault="005A6201" w:rsidP="005A6201">
      <w:pPr>
        <w:rPr>
          <w:snapToGrid w:val="0"/>
        </w:rPr>
      </w:pPr>
    </w:p>
    <w:p w:rsidR="005A6201" w:rsidRPr="00020DB6" w:rsidRDefault="005A6201" w:rsidP="005A6201">
      <w:pPr>
        <w:widowControl w:val="0"/>
        <w:autoSpaceDE w:val="0"/>
        <w:autoSpaceDN w:val="0"/>
        <w:adjustRightInd w:val="0"/>
        <w:ind w:left="2880" w:hanging="720"/>
        <w:rPr>
          <w:snapToGrid w:val="0"/>
          <w:szCs w:val="20"/>
        </w:rPr>
      </w:pPr>
      <w:r w:rsidRPr="00020DB6">
        <w:rPr>
          <w:snapToGrid w:val="0"/>
          <w:szCs w:val="20"/>
        </w:rPr>
        <w:t>A)</w:t>
      </w:r>
      <w:r>
        <w:rPr>
          <w:snapToGrid w:val="0"/>
          <w:szCs w:val="20"/>
        </w:rPr>
        <w:tab/>
      </w:r>
      <w:r w:rsidRPr="00020DB6">
        <w:rPr>
          <w:snapToGrid w:val="0"/>
          <w:szCs w:val="20"/>
        </w:rPr>
        <w:t>Multiply the percentage of the tuition and mandatory fee charges covered by the IVG by the number of credit hours attempted.</w:t>
      </w:r>
    </w:p>
    <w:p w:rsidR="005A6201" w:rsidRPr="00020DB6" w:rsidRDefault="005A6201" w:rsidP="005A6201">
      <w:pPr>
        <w:rPr>
          <w:snapToGrid w:val="0"/>
        </w:rPr>
      </w:pPr>
    </w:p>
    <w:p w:rsidR="005A6201" w:rsidRPr="00020DB6" w:rsidRDefault="005A6201" w:rsidP="005A6201">
      <w:pPr>
        <w:widowControl w:val="0"/>
        <w:autoSpaceDE w:val="0"/>
        <w:autoSpaceDN w:val="0"/>
        <w:adjustRightInd w:val="0"/>
        <w:ind w:left="2880" w:hanging="720"/>
        <w:rPr>
          <w:snapToGrid w:val="0"/>
          <w:szCs w:val="20"/>
        </w:rPr>
      </w:pPr>
      <w:r w:rsidRPr="00020DB6">
        <w:rPr>
          <w:snapToGrid w:val="0"/>
          <w:szCs w:val="20"/>
        </w:rPr>
        <w:t>B)</w:t>
      </w:r>
      <w:r>
        <w:rPr>
          <w:snapToGrid w:val="0"/>
          <w:szCs w:val="20"/>
        </w:rPr>
        <w:tab/>
      </w:r>
      <w:r w:rsidRPr="00020DB6">
        <w:rPr>
          <w:snapToGrid w:val="0"/>
          <w:szCs w:val="20"/>
        </w:rPr>
        <w:t>Convert the result to eligibility units, as described in the table in subsection (g)(1).</w:t>
      </w:r>
    </w:p>
    <w:p w:rsidR="005A6201" w:rsidRPr="00020DB6" w:rsidRDefault="005A6201" w:rsidP="005A6201">
      <w:pPr>
        <w:rPr>
          <w:snapToGrid w:val="0"/>
        </w:rPr>
      </w:pPr>
    </w:p>
    <w:p w:rsidR="005A6201" w:rsidRDefault="005A6201" w:rsidP="005A6201">
      <w:pPr>
        <w:widowControl w:val="0"/>
        <w:autoSpaceDE w:val="0"/>
        <w:autoSpaceDN w:val="0"/>
        <w:adjustRightInd w:val="0"/>
        <w:ind w:left="2160" w:hanging="720"/>
      </w:pPr>
      <w:r w:rsidRPr="00020DB6">
        <w:rPr>
          <w:snapToGrid w:val="0"/>
          <w:szCs w:val="20"/>
        </w:rPr>
        <w:t>3)</w:t>
      </w:r>
      <w:r>
        <w:rPr>
          <w:snapToGrid w:val="0"/>
          <w:szCs w:val="20"/>
        </w:rPr>
        <w:tab/>
      </w:r>
      <w:r>
        <w:t xml:space="preserve">Full program benefits may be extended for one additional term if the recipient has accumulated fewer than 120 eligibility units but does not have enough units remaining for the number of hours in which </w:t>
      </w:r>
      <w:r w:rsidR="00673FDC">
        <w:t>the recipient</w:t>
      </w:r>
      <w:r>
        <w:t xml:space="preserve"> is enrolled for the term. </w:t>
      </w:r>
    </w:p>
    <w:p w:rsidR="005A6201" w:rsidRPr="00D247EB" w:rsidRDefault="005A6201" w:rsidP="005A6201"/>
    <w:p w:rsidR="005A6201" w:rsidRPr="00D247EB" w:rsidRDefault="005A6201" w:rsidP="005A6201">
      <w:pPr>
        <w:ind w:left="2160" w:hanging="720"/>
      </w:pPr>
      <w:r>
        <w:t>4)</w:t>
      </w:r>
      <w:r w:rsidRPr="00D247EB">
        <w:tab/>
        <w:t xml:space="preserve">In the event that a recipient withdraws from a </w:t>
      </w:r>
      <w:r>
        <w:t>course</w:t>
      </w:r>
      <w:r w:rsidRPr="00D247EB">
        <w:t xml:space="preserve"> prior to the end of a term, a refund will be made according to the institution</w:t>
      </w:r>
      <w:r>
        <w:t>'</w:t>
      </w:r>
      <w:r w:rsidRPr="00D247EB">
        <w:t xml:space="preserve">s refund withdrawal policy and eligibility units will be adjusted accordingly. </w:t>
      </w:r>
    </w:p>
    <w:p w:rsidR="005A6201" w:rsidRDefault="005A6201" w:rsidP="005A6201"/>
    <w:p w:rsidR="005A6201" w:rsidRDefault="005A6201" w:rsidP="005A6201">
      <w:pPr>
        <w:widowControl w:val="0"/>
        <w:autoSpaceDE w:val="0"/>
        <w:autoSpaceDN w:val="0"/>
        <w:adjustRightInd w:val="0"/>
        <w:ind w:left="2160" w:hanging="720"/>
      </w:pPr>
      <w:r>
        <w:t>5)</w:t>
      </w:r>
      <w:r>
        <w:tab/>
        <w:t xml:space="preserve">The eligibility units used for a noncredit course shall be the same as the number of eligibility units used for a credit course having the same number of faculty contact hours. </w:t>
      </w:r>
    </w:p>
    <w:p w:rsidR="005A6201" w:rsidRDefault="005A6201" w:rsidP="005A6201"/>
    <w:p w:rsidR="005A6201" w:rsidRDefault="005A6201" w:rsidP="005A6201">
      <w:pPr>
        <w:autoSpaceDE w:val="0"/>
        <w:autoSpaceDN w:val="0"/>
        <w:adjustRightInd w:val="0"/>
        <w:ind w:left="2160" w:hanging="720"/>
      </w:pPr>
      <w:r>
        <w:t>6)</w:t>
      </w:r>
      <w:r>
        <w:tab/>
        <w:t>If, for any reason, the U.S. Department of Veteran Affairs (VA) terminates or suspends a veteran educational benefits program, assistance under this Part shall cease six months following this action.  This does not include veterans who have begun receiving educational benefits under this Part.  In the event that the VA resumes terminated or suspended educational benefits, all current rules will be enforced.</w:t>
      </w:r>
    </w:p>
    <w:p w:rsidR="005A6201" w:rsidRDefault="005A6201" w:rsidP="005A6201"/>
    <w:p w:rsidR="005A6201" w:rsidRPr="00D55B37" w:rsidRDefault="00673FDC" w:rsidP="005A6201">
      <w:pPr>
        <w:pStyle w:val="JCARSourceNote"/>
        <w:ind w:left="720"/>
      </w:pPr>
      <w:r>
        <w:t xml:space="preserve">(Source:  Amended at 44 Ill. Reg. </w:t>
      </w:r>
      <w:r w:rsidR="0099410E">
        <w:t>11019</w:t>
      </w:r>
      <w:r>
        <w:t xml:space="preserve">, effective </w:t>
      </w:r>
      <w:bookmarkStart w:id="0" w:name="_GoBack"/>
      <w:r w:rsidR="0099410E">
        <w:t>July 1, 2020</w:t>
      </w:r>
      <w:bookmarkEnd w:id="0"/>
      <w:r>
        <w:t>)</w:t>
      </w:r>
    </w:p>
    <w:sectPr w:rsidR="005A6201" w:rsidRPr="00D55B37" w:rsidSect="00B850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E547B"/>
    <w:multiLevelType w:val="hybridMultilevel"/>
    <w:tmpl w:val="7D7A19B8"/>
    <w:lvl w:ilvl="0" w:tplc="410E1E36">
      <w:start w:val="3"/>
      <w:numFmt w:val="upp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15:restartNumberingAfterBreak="0">
    <w:nsid w:val="6AAB7205"/>
    <w:multiLevelType w:val="hybridMultilevel"/>
    <w:tmpl w:val="6154289E"/>
    <w:lvl w:ilvl="0" w:tplc="E020EB16">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5063"/>
    <w:rsid w:val="00020DB6"/>
    <w:rsid w:val="00190398"/>
    <w:rsid w:val="001F0AFC"/>
    <w:rsid w:val="002603CE"/>
    <w:rsid w:val="002867E5"/>
    <w:rsid w:val="002B1614"/>
    <w:rsid w:val="002F14B9"/>
    <w:rsid w:val="003157A1"/>
    <w:rsid w:val="00344BF6"/>
    <w:rsid w:val="0038513A"/>
    <w:rsid w:val="004C1CDD"/>
    <w:rsid w:val="005A6201"/>
    <w:rsid w:val="005C3366"/>
    <w:rsid w:val="005F62D0"/>
    <w:rsid w:val="00613338"/>
    <w:rsid w:val="00654D2E"/>
    <w:rsid w:val="006668E5"/>
    <w:rsid w:val="00673FDC"/>
    <w:rsid w:val="00717A50"/>
    <w:rsid w:val="00724BBB"/>
    <w:rsid w:val="008A0B8A"/>
    <w:rsid w:val="00961D73"/>
    <w:rsid w:val="0099410E"/>
    <w:rsid w:val="009D5B70"/>
    <w:rsid w:val="00A062E9"/>
    <w:rsid w:val="00AA2076"/>
    <w:rsid w:val="00AE525B"/>
    <w:rsid w:val="00B00721"/>
    <w:rsid w:val="00B85063"/>
    <w:rsid w:val="00BF576E"/>
    <w:rsid w:val="00CB1996"/>
    <w:rsid w:val="00D247EB"/>
    <w:rsid w:val="00D7467E"/>
    <w:rsid w:val="00F412C4"/>
    <w:rsid w:val="00F5623E"/>
    <w:rsid w:val="00F6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A3D7DB2-A5E3-480C-898C-F5B78B29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2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D247E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Pr>
      <w:sz w:val="22"/>
      <w:szCs w:val="20"/>
    </w:rPr>
  </w:style>
  <w:style w:type="paragraph" w:customStyle="1" w:styleId="JCARSourceNote">
    <w:name w:val="JCAR Source Note"/>
    <w:basedOn w:val="Normal"/>
    <w:rsid w:val="00D24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2733</vt:lpstr>
    </vt:vector>
  </TitlesOfParts>
  <Company>State of Illinois</Company>
  <LinksUpToDate>false</LinksUpToDate>
  <CharactersWithSpaces>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2733</dc:title>
  <dc:subject/>
  <dc:creator>Illinois General Assembly</dc:creator>
  <cp:keywords/>
  <dc:description/>
  <cp:lastModifiedBy>Lane, Arlene L.</cp:lastModifiedBy>
  <cp:revision>3</cp:revision>
  <dcterms:created xsi:type="dcterms:W3CDTF">2020-05-11T13:24:00Z</dcterms:created>
  <dcterms:modified xsi:type="dcterms:W3CDTF">2020-06-22T17:47:00Z</dcterms:modified>
</cp:coreProperties>
</file>