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18" w:rsidRPr="00CE1118" w:rsidRDefault="00CE1118" w:rsidP="008C0854">
      <w:bookmarkStart w:id="0" w:name="_GoBack"/>
      <w:bookmarkEnd w:id="0"/>
    </w:p>
    <w:p w:rsidR="008C0854" w:rsidRPr="008C0854" w:rsidRDefault="008C0854" w:rsidP="008C0854">
      <w:pPr>
        <w:rPr>
          <w:b/>
        </w:rPr>
      </w:pPr>
      <w:r w:rsidRPr="008C0854">
        <w:rPr>
          <w:b/>
        </w:rPr>
        <w:t>Section 405.60  Calculation of Costs</w:t>
      </w:r>
    </w:p>
    <w:p w:rsidR="008C0854" w:rsidRPr="008C0854" w:rsidRDefault="008C0854" w:rsidP="008C0854"/>
    <w:p w:rsidR="008C0854" w:rsidRPr="008C0854" w:rsidRDefault="008C0854" w:rsidP="008C0854">
      <w:r w:rsidRPr="008C0854">
        <w:t>The provider of an educational program not approved by the State Board of Education under its rules at 23 Ill. Adm. Code 401 shall not be required to seek approval for the program.  In order to receive payment from a student</w:t>
      </w:r>
      <w:r w:rsidR="002D6364">
        <w:t>'</w:t>
      </w:r>
      <w:r w:rsidRPr="008C0854">
        <w:t xml:space="preserve">s district of residence, however, the provider shall be required to submit information to the Illinois Purchased Care Review Board (IPCRB), in a format specified by the IPCRB, so that a rate can be established for the program using the method described in </w:t>
      </w:r>
      <w:r w:rsidR="005E0CE8">
        <w:t xml:space="preserve">IPCRB's </w:t>
      </w:r>
      <w:r w:rsidRPr="008C0854">
        <w:t xml:space="preserve">rules at 89 Ill. Adm. Code 900 (Illinois Purchased Care Review Board).  The </w:t>
      </w:r>
      <w:r w:rsidRPr="008C0854">
        <w:rPr>
          <w:i/>
        </w:rPr>
        <w:t>costs of educating the child</w:t>
      </w:r>
      <w:r w:rsidRPr="008C0854">
        <w:t xml:space="preserve"> </w:t>
      </w:r>
      <w:r w:rsidR="005E0CE8">
        <w:t xml:space="preserve">(Section 14-7.05 of the School Code) </w:t>
      </w:r>
      <w:r w:rsidRPr="008C0854">
        <w:t>that must be paid by the district of residence of a student under this Part shall be determined on the basis of the daily rate set for the respective educational program by the IPCRB and the number of days for which the student is enrolled.  The State Superintendent shall inform the district of residence of the rate as soon as it has been set.</w:t>
      </w:r>
    </w:p>
    <w:sectPr w:rsidR="008C0854" w:rsidRPr="008C085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14" w:rsidRDefault="00280314">
      <w:r>
        <w:separator/>
      </w:r>
    </w:p>
  </w:endnote>
  <w:endnote w:type="continuationSeparator" w:id="0">
    <w:p w:rsidR="00280314" w:rsidRDefault="0028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14" w:rsidRDefault="00280314">
      <w:r>
        <w:separator/>
      </w:r>
    </w:p>
  </w:footnote>
  <w:footnote w:type="continuationSeparator" w:id="0">
    <w:p w:rsidR="00280314" w:rsidRDefault="0028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85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14"/>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6364"/>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CE8"/>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6156"/>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9F8"/>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298"/>
    <w:rsid w:val="007D55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854"/>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349"/>
    <w:rsid w:val="009602D3"/>
    <w:rsid w:val="00960C37"/>
    <w:rsid w:val="00961E38"/>
    <w:rsid w:val="00965A76"/>
    <w:rsid w:val="00966D51"/>
    <w:rsid w:val="0096700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57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5D1"/>
    <w:rsid w:val="00B27474"/>
    <w:rsid w:val="00B34F63"/>
    <w:rsid w:val="00B35D67"/>
    <w:rsid w:val="00B420C1"/>
    <w:rsid w:val="00B4287F"/>
    <w:rsid w:val="00B44A11"/>
    <w:rsid w:val="00B516F7"/>
    <w:rsid w:val="00B530BA"/>
    <w:rsid w:val="00B557AA"/>
    <w:rsid w:val="00B620B6"/>
    <w:rsid w:val="00B649AC"/>
    <w:rsid w:val="00B66F59"/>
    <w:rsid w:val="00B678F1"/>
    <w:rsid w:val="00B7052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118"/>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10D"/>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58E"/>
    <w:rsid w:val="00F73B7F"/>
    <w:rsid w:val="00F76C9F"/>
    <w:rsid w:val="00F82FB8"/>
    <w:rsid w:val="00F83011"/>
    <w:rsid w:val="00F8452A"/>
    <w:rsid w:val="00F9393D"/>
    <w:rsid w:val="00F942E4"/>
    <w:rsid w:val="00F942E7"/>
    <w:rsid w:val="00F953D5"/>
    <w:rsid w:val="00F96704"/>
    <w:rsid w:val="00F97D67"/>
    <w:rsid w:val="00FA133E"/>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31827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2012-06-22T00:56:00Z</dcterms:created>
  <dcterms:modified xsi:type="dcterms:W3CDTF">2012-06-22T00:56:00Z</dcterms:modified>
</cp:coreProperties>
</file>