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28" w:rsidRDefault="00494C28" w:rsidP="000A1FA4">
      <w:pPr>
        <w:rPr>
          <w:b/>
        </w:rPr>
      </w:pPr>
      <w:bookmarkStart w:id="0" w:name="_GoBack"/>
      <w:bookmarkEnd w:id="0"/>
    </w:p>
    <w:p w:rsidR="000A1FA4" w:rsidRPr="000A1FA4" w:rsidRDefault="000A1FA4" w:rsidP="000A1FA4">
      <w:pPr>
        <w:rPr>
          <w:b/>
        </w:rPr>
      </w:pPr>
      <w:r w:rsidRPr="000A1FA4">
        <w:rPr>
          <w:b/>
        </w:rPr>
        <w:t>Section 270.10  Purpose and Applicability</w:t>
      </w:r>
    </w:p>
    <w:p w:rsidR="000A1FA4" w:rsidRPr="000A1FA4" w:rsidRDefault="000A1FA4" w:rsidP="000A1FA4"/>
    <w:p w:rsidR="000A1FA4" w:rsidRDefault="000A1FA4" w:rsidP="000A1FA4">
      <w:r w:rsidRPr="000A1FA4">
        <w:t>This Part establishes the application procedure and criteria for selection by the State Board of Education of the entities that will receive funding under the College and Career Success for All Students Act [105 ILCS 302] (</w:t>
      </w:r>
      <w:r w:rsidR="00C436B4">
        <w:t>"</w:t>
      </w:r>
      <w:r w:rsidRPr="000A1FA4">
        <w:t>the Act</w:t>
      </w:r>
      <w:r w:rsidR="00C436B4">
        <w:t>"</w:t>
      </w:r>
      <w:r w:rsidRPr="000A1FA4">
        <w:t>).</w:t>
      </w:r>
    </w:p>
    <w:sectPr w:rsidR="000A1FA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F77" w:rsidRDefault="00514F77">
      <w:r>
        <w:separator/>
      </w:r>
    </w:p>
  </w:endnote>
  <w:endnote w:type="continuationSeparator" w:id="0">
    <w:p w:rsidR="00514F77" w:rsidRDefault="0051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F77" w:rsidRDefault="00514F77">
      <w:r>
        <w:separator/>
      </w:r>
    </w:p>
  </w:footnote>
  <w:footnote w:type="continuationSeparator" w:id="0">
    <w:p w:rsidR="00514F77" w:rsidRDefault="00514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FA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1FA4"/>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F5605"/>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8541A"/>
    <w:rsid w:val="004925CE"/>
    <w:rsid w:val="00493C66"/>
    <w:rsid w:val="0049486A"/>
    <w:rsid w:val="00494C28"/>
    <w:rsid w:val="004A2DF2"/>
    <w:rsid w:val="004B0153"/>
    <w:rsid w:val="004B41BC"/>
    <w:rsid w:val="004B6FF4"/>
    <w:rsid w:val="004D6EED"/>
    <w:rsid w:val="004D73D3"/>
    <w:rsid w:val="004E49DF"/>
    <w:rsid w:val="004E513F"/>
    <w:rsid w:val="005001C5"/>
    <w:rsid w:val="005039E7"/>
    <w:rsid w:val="0050660E"/>
    <w:rsid w:val="005109B5"/>
    <w:rsid w:val="00512795"/>
    <w:rsid w:val="00514F77"/>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72D"/>
    <w:rsid w:val="005E3D55"/>
    <w:rsid w:val="006132CE"/>
    <w:rsid w:val="00620BBA"/>
    <w:rsid w:val="006247D4"/>
    <w:rsid w:val="00631875"/>
    <w:rsid w:val="00641AEA"/>
    <w:rsid w:val="0064660E"/>
    <w:rsid w:val="00651FF5"/>
    <w:rsid w:val="00655C33"/>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431F"/>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3772"/>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569F"/>
    <w:rsid w:val="00B66F59"/>
    <w:rsid w:val="00B678F1"/>
    <w:rsid w:val="00B71019"/>
    <w:rsid w:val="00B71177"/>
    <w:rsid w:val="00B77077"/>
    <w:rsid w:val="00B817A1"/>
    <w:rsid w:val="00B839A1"/>
    <w:rsid w:val="00B83B6B"/>
    <w:rsid w:val="00B8444F"/>
    <w:rsid w:val="00B86B5A"/>
    <w:rsid w:val="00B96798"/>
    <w:rsid w:val="00BB230E"/>
    <w:rsid w:val="00BB5B6A"/>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36B4"/>
    <w:rsid w:val="00C4537A"/>
    <w:rsid w:val="00C50195"/>
    <w:rsid w:val="00C60D0B"/>
    <w:rsid w:val="00C67B51"/>
    <w:rsid w:val="00C72A95"/>
    <w:rsid w:val="00C72C0C"/>
    <w:rsid w:val="00C73CD4"/>
    <w:rsid w:val="00C77131"/>
    <w:rsid w:val="00C86122"/>
    <w:rsid w:val="00C9697B"/>
    <w:rsid w:val="00CA1E98"/>
    <w:rsid w:val="00CA2022"/>
    <w:rsid w:val="00CA4E7D"/>
    <w:rsid w:val="00CA7140"/>
    <w:rsid w:val="00CB065C"/>
    <w:rsid w:val="00CC13F9"/>
    <w:rsid w:val="00CC4FF8"/>
    <w:rsid w:val="00CD3723"/>
    <w:rsid w:val="00CD5413"/>
    <w:rsid w:val="00CE4292"/>
    <w:rsid w:val="00CF7A4C"/>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3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2012-06-22T00:53:00Z</dcterms:created>
  <dcterms:modified xsi:type="dcterms:W3CDTF">2012-06-22T00:53:00Z</dcterms:modified>
</cp:coreProperties>
</file>