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DD" w:rsidRDefault="009266DD" w:rsidP="00BF30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060" w:rsidRDefault="00BF3060" w:rsidP="00BF30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260.70  Distribution of Grant Awards</w:t>
      </w:r>
      <w:r>
        <w:t xml:space="preserve"> </w:t>
      </w:r>
    </w:p>
    <w:p w:rsidR="00BF3060" w:rsidRDefault="00BF3060" w:rsidP="00BF3060">
      <w:pPr>
        <w:widowControl w:val="0"/>
        <w:autoSpaceDE w:val="0"/>
        <w:autoSpaceDN w:val="0"/>
        <w:adjustRightInd w:val="0"/>
      </w:pPr>
    </w:p>
    <w:p w:rsidR="00BF3060" w:rsidRDefault="00BF3060" w:rsidP="00BF3060">
      <w:pPr>
        <w:widowControl w:val="0"/>
        <w:autoSpaceDE w:val="0"/>
        <w:autoSpaceDN w:val="0"/>
        <w:adjustRightInd w:val="0"/>
      </w:pPr>
      <w:r>
        <w:t xml:space="preserve">Distribution of grant awards to eligible recipients shall be made on or before the dates specified in Section 2-3.51 of the School Code, provided that complete applications have been received by the State Board of Education by the date specified on the application form. </w:t>
      </w:r>
    </w:p>
    <w:p w:rsidR="00BF3060" w:rsidRDefault="00BF3060" w:rsidP="00BF3060">
      <w:pPr>
        <w:widowControl w:val="0"/>
        <w:autoSpaceDE w:val="0"/>
        <w:autoSpaceDN w:val="0"/>
        <w:adjustRightInd w:val="0"/>
      </w:pPr>
    </w:p>
    <w:p w:rsidR="00BF3060" w:rsidRDefault="00BF3060" w:rsidP="00BF30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7083, effective June 2, 1999) </w:t>
      </w:r>
    </w:p>
    <w:sectPr w:rsidR="00BF3060" w:rsidSect="00BF30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060"/>
    <w:rsid w:val="003106FB"/>
    <w:rsid w:val="005C3366"/>
    <w:rsid w:val="007F334F"/>
    <w:rsid w:val="009266DD"/>
    <w:rsid w:val="00BC69A2"/>
    <w:rsid w:val="00B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