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5" w:rsidRDefault="004D6DF5" w:rsidP="004D6DF5">
      <w:pPr>
        <w:rPr>
          <w:b/>
        </w:rPr>
      </w:pPr>
      <w:r>
        <w:rPr>
          <w:b/>
        </w:rPr>
        <w:br w:type="page"/>
      </w:r>
      <w:r>
        <w:rPr>
          <w:b/>
        </w:rPr>
        <w:lastRenderedPageBreak/>
        <w:t>Section 100.TABLE D   Expenditure Accounts</w:t>
      </w:r>
    </w:p>
    <w:p w:rsidR="004D6DF5" w:rsidRDefault="004D6DF5" w:rsidP="004D6DF5"/>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118"/>
        <w:gridCol w:w="5330"/>
      </w:tblGrid>
      <w:tr w:rsidR="004D6DF5" w:rsidTr="004D6DF5">
        <w:trPr>
          <w:cantSplit/>
        </w:trPr>
        <w:tc>
          <w:tcPr>
            <w:tcW w:w="1557" w:type="pct"/>
            <w:tcBorders>
              <w:top w:val="double" w:sz="4" w:space="0" w:color="auto"/>
              <w:left w:val="double" w:sz="4" w:space="0" w:color="auto"/>
              <w:bottom w:val="double" w:sz="4" w:space="0" w:color="auto"/>
              <w:right w:val="double" w:sz="4" w:space="0" w:color="auto"/>
            </w:tcBorders>
            <w:tcMar>
              <w:top w:w="0" w:type="dxa"/>
              <w:left w:w="0" w:type="dxa"/>
              <w:bottom w:w="0" w:type="dxa"/>
              <w:right w:w="0" w:type="dxa"/>
            </w:tcMar>
            <w:vAlign w:val="center"/>
            <w:hideMark/>
          </w:tcPr>
          <w:p w:rsidR="004D6DF5" w:rsidRDefault="004D6DF5">
            <w:pPr>
              <w:jc w:val="center"/>
              <w:rPr>
                <w:b/>
                <w:sz w:val="26"/>
                <w:szCs w:val="26"/>
              </w:rPr>
            </w:pPr>
            <w:r>
              <w:rPr>
                <w:b/>
                <w:sz w:val="26"/>
                <w:szCs w:val="26"/>
              </w:rPr>
              <w:t>Label</w:t>
            </w:r>
          </w:p>
        </w:tc>
        <w:tc>
          <w:tcPr>
            <w:tcW w:w="597" w:type="pct"/>
            <w:tcBorders>
              <w:top w:val="double" w:sz="4" w:space="0" w:color="auto"/>
              <w:left w:val="double" w:sz="4" w:space="0" w:color="auto"/>
              <w:bottom w:val="double" w:sz="4" w:space="0" w:color="auto"/>
              <w:right w:val="double" w:sz="4" w:space="0" w:color="auto"/>
            </w:tcBorders>
            <w:tcMar>
              <w:top w:w="0" w:type="dxa"/>
              <w:left w:w="0" w:type="dxa"/>
              <w:bottom w:w="0" w:type="dxa"/>
              <w:right w:w="0" w:type="dxa"/>
            </w:tcMar>
            <w:vAlign w:val="center"/>
            <w:hideMark/>
          </w:tcPr>
          <w:p w:rsidR="004D6DF5" w:rsidRDefault="004D6DF5">
            <w:pPr>
              <w:jc w:val="center"/>
              <w:rPr>
                <w:b/>
                <w:sz w:val="26"/>
                <w:szCs w:val="26"/>
              </w:rPr>
            </w:pPr>
            <w:r>
              <w:rPr>
                <w:b/>
                <w:sz w:val="26"/>
                <w:szCs w:val="26"/>
              </w:rPr>
              <w:t>Account Number</w:t>
            </w:r>
          </w:p>
        </w:tc>
        <w:tc>
          <w:tcPr>
            <w:tcW w:w="2846" w:type="pct"/>
            <w:tcBorders>
              <w:top w:val="double" w:sz="4" w:space="0" w:color="auto"/>
              <w:left w:val="double" w:sz="4" w:space="0" w:color="auto"/>
              <w:bottom w:val="double" w:sz="4" w:space="0" w:color="auto"/>
              <w:right w:val="double" w:sz="4" w:space="0" w:color="auto"/>
            </w:tcBorders>
            <w:tcMar>
              <w:top w:w="0" w:type="dxa"/>
              <w:left w:w="0" w:type="dxa"/>
              <w:bottom w:w="0" w:type="dxa"/>
              <w:right w:w="0" w:type="dxa"/>
            </w:tcMar>
            <w:vAlign w:val="center"/>
            <w:hideMark/>
          </w:tcPr>
          <w:p w:rsidR="004D6DF5" w:rsidRDefault="004D6DF5">
            <w:pPr>
              <w:jc w:val="center"/>
              <w:rPr>
                <w:b/>
                <w:sz w:val="26"/>
                <w:szCs w:val="26"/>
              </w:rPr>
            </w:pPr>
            <w:r>
              <w:rPr>
                <w:b/>
                <w:sz w:val="26"/>
                <w:szCs w:val="26"/>
              </w:rPr>
              <w:t>Source; Notes</w:t>
            </w:r>
          </w:p>
        </w:tc>
      </w:tr>
    </w:tbl>
    <w:p w:rsidR="004D6DF5" w:rsidRDefault="004D6DF5" w:rsidP="004D6DF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firstLine="95"/>
              <w:rPr>
                <w:b/>
                <w:szCs w:val="22"/>
              </w:rPr>
            </w:pPr>
            <w:r>
              <w:rPr>
                <w:b/>
                <w:szCs w:val="22"/>
              </w:rPr>
              <w:t>INSTRUCTION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1000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Regular K-12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1100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Instructional activities designed primarily for K-12 pupils who do not require special programs such as gifted, vocational, bilingual, or special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pPr>
            <w:r>
              <w:t>Charter Schools −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pPr>
            <w:r>
              <w:t>1115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pPr>
            <w:r>
              <w:t>Payments to Charter Schools for tuition.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Pre-K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1125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Instructional activities designed primarily for pupils in pre-kindergarten programs who do not require special programs such as gifted, vocational, bilingual, or special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Special Education Programs K-12</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1200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 and resource programs required by a student due to his or her disability; includes special services, special materials, and special equipment required by K-12 students as authorized in Article 14 of the School Code [105 ILCS 5/Art. 14].</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 xml:space="preserve">Special Education Programs Pre-K </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1225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 and resource programs required by a student due to his or her disability; includes special services, special materials, and special equipment required by pre-kindergarten students as authorized in Article 14 of the School Code.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Remedial and Supplemental Programs K-12</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1250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Supplemental programs to increase the educational opportunities of eligible children in kindergarten and Grades 1-12.</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Remedial and Supplemental Programs Pre-K</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1275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Supplemental programs to increase the educational opportunities of eligible children in pre-kindergarten.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i/>
                <w:szCs w:val="22"/>
              </w:rPr>
            </w:pPr>
            <w:r>
              <w:rPr>
                <w:szCs w:val="22"/>
              </w:rPr>
              <w:t>Adult/Continuing Education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1300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Learning experiences designed to develop knowledge and skills to meet immediate and long-range educational objectives for adults who have not completed or have interrupted their formal schooling.  Programs include activities to foster the development of fundamental tools of learning, to prepare for a postsecondary career, to prepare for postsecondary education programs, to upgrade occupational competencies, to prepare for a new or different career, to develop skills and appreciation for special interests, or to enrich the aesthetic qualities of a student's life.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Career and Technical Education (CTE)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1400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 provided to develop the knowledge, skills, and attitudes needed for employment in an occupational area, including all programs approved in the district's plan for career and technical education; see the Vocational Education Act [105 ILCS 435] and 23 Ill. Adm. Code 254 (Vocational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lastRenderedPageBreak/>
              <w:t>Interscholastic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1500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Cocurricular activities that supplement the regular instructional program, such as athletics, band, chorus, and speech.</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Summer School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1600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Instructional activities that are not embraced within the regular school term.</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Gifted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1650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Special learning experiences for pupils identified as gifted or talented; see Article 14A of the School Code [105 ILCS 5/Art. 14A] and 23 Ill. Adm. Code 227 (Gifted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Driver's Education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1700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 xml:space="preserve">Driver's education instruction provided pursuant to the Driver Education Act [105 ILCS </w:t>
            </w:r>
            <w:smartTag w:uri="urn:schemas-microsoft-com:office:smarttags" w:element="date">
              <w:smartTagPr>
                <w:attr w:name="ls" w:val="trans"/>
                <w:attr w:name="Month" w:val="5"/>
                <w:attr w:name="Day" w:val="27"/>
                <w:attr w:name="Year" w:val="24"/>
              </w:smartTagPr>
              <w:r>
                <w:rPr>
                  <w:szCs w:val="22"/>
                </w:rPr>
                <w:t>5/27-24</w:t>
              </w:r>
            </w:smartTag>
            <w:r>
              <w:rPr>
                <w:szCs w:val="22"/>
              </w:rPr>
              <w:t xml:space="preserve"> through 27-24.8</w:t>
            </w:r>
            <w:r>
              <w:rPr>
                <w:iCs/>
                <w:szCs w:val="22"/>
              </w:rPr>
              <w:t>] and 23 Ill. Adm. Code 252 (Driver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Bilingual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1800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Special learning experiences for pupils receiving services pursuant to Article 14C of the School Code [105 ILCS 5/Art. 14C] and 23 Ill. Adm. Code 228 (Transitional Bilingual Education).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Truant Alternative &amp; Optional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Instructional programs provided to students pursuant to Section 2-3.66 of the School Code and 23 Ill. Adm. Code 205 (Truants' Alternative and Optional Education Programs).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Pre-K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Regular K-12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1911</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Special Education Programs K-12 −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1912</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Special Education Programs Pre-K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1913</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Remedial and Supplemental Programs K-12 −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1914</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Remedial and Supplemental Programs Pre-K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Adult/Continuing Education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1916</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CTE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1917</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Interscholastic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1918</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Summer School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1919</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Gifted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t>Bilingual Programs − Private Tuition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1921</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95"/>
              <w:rPr>
                <w:szCs w:val="22"/>
              </w:rPr>
            </w:pPr>
            <w:r>
              <w:rPr>
                <w:szCs w:val="22"/>
              </w:rPr>
              <w:lastRenderedPageBreak/>
              <w:t>Truants' Alternative and Optional Education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1922</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5"/>
              <w:rPr>
                <w:szCs w:val="22"/>
                <w:u w:val="single"/>
              </w:rPr>
            </w:pPr>
            <w:r>
              <w:rPr>
                <w:szCs w:val="22"/>
              </w:rPr>
              <w:t>Payments to private educational facilities.</w:t>
            </w:r>
          </w:p>
        </w:tc>
      </w:tr>
      <w:tr w:rsidR="005D2839"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2839" w:rsidRPr="005D2839" w:rsidRDefault="005D2839" w:rsidP="005D2839">
            <w:pPr>
              <w:ind w:left="95"/>
              <w:rPr>
                <w:szCs w:val="22"/>
              </w:rPr>
            </w:pPr>
            <w:r w:rsidRPr="005D2839">
              <w:t>Student Activity Fund Expenditures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2839" w:rsidRPr="005D2839" w:rsidRDefault="005D2839" w:rsidP="005D2839">
            <w:pPr>
              <w:jc w:val="center"/>
              <w:rPr>
                <w:szCs w:val="22"/>
              </w:rPr>
            </w:pPr>
            <w:r w:rsidRPr="005D2839">
              <w:t>1999</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D2839" w:rsidRPr="005D2839" w:rsidRDefault="005D2839" w:rsidP="005D2839">
            <w:pPr>
              <w:ind w:left="65"/>
              <w:rPr>
                <w:szCs w:val="22"/>
              </w:rPr>
            </w:pPr>
            <w:r w:rsidRPr="005D2839">
              <w:t>All expenditures associated with Student Activity Fund activities.</w:t>
            </w:r>
          </w:p>
        </w:tc>
      </w:tr>
      <w:tr w:rsidR="005D2839"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D2839" w:rsidRDefault="005D2839" w:rsidP="005D2839">
            <w:pPr>
              <w:ind w:left="95"/>
              <w:rPr>
                <w:b/>
                <w:bCs/>
                <w:szCs w:val="22"/>
              </w:rPr>
            </w:pPr>
            <w:r>
              <w:rPr>
                <w:b/>
                <w:bCs/>
                <w:szCs w:val="22"/>
              </w:rPr>
              <w:t>TOTAL INSTRUCTION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D2839" w:rsidRDefault="005D2839" w:rsidP="005D2839">
            <w:pPr>
              <w:jc w:val="center"/>
              <w:rPr>
                <w:b/>
                <w:bCs/>
                <w:szCs w:val="22"/>
              </w:rPr>
            </w:pPr>
            <w:r>
              <w:rPr>
                <w:b/>
                <w:bCs/>
                <w:szCs w:val="22"/>
              </w:rPr>
              <w:t>1000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D2839" w:rsidRDefault="005D2839" w:rsidP="005D2839">
            <w:pPr>
              <w:ind w:left="65"/>
              <w:rPr>
                <w:szCs w:val="22"/>
              </w:rPr>
            </w:pPr>
            <w:r>
              <w:rPr>
                <w:szCs w:val="22"/>
              </w:rPr>
              <w:t>The teaching of pupils or the interaction between teacher and pupils.  Included are activities of aides or assistants who assist in the instructional process.  Teaching may occur in classrooms or other learning situations such as those involving cocurricular activities, and may be conducted through a medium such as television, radio, telephone, or correspondence.</w:t>
            </w:r>
          </w:p>
        </w:tc>
      </w:tr>
    </w:tbl>
    <w:p w:rsidR="004D6DF5" w:rsidRDefault="004D6DF5" w:rsidP="004D6DF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b/>
                <w:bCs/>
                <w:szCs w:val="22"/>
              </w:rPr>
            </w:pPr>
            <w:r>
              <w:rPr>
                <w:b/>
                <w:bCs/>
                <w:szCs w:val="22"/>
              </w:rPr>
              <w:t>SUPPORT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2000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that provide administrative, technical (e.g., guidance and health), and logistical support to facilitate and enhance instruction.  Support services are adjuncts to the fulfillment of the objectives of instruction.</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b/>
                <w:bCs/>
                <w:szCs w:val="22"/>
              </w:rPr>
            </w:pPr>
            <w:r>
              <w:rPr>
                <w:b/>
                <w:bCs/>
                <w:szCs w:val="22"/>
              </w:rPr>
              <w:t>Support Services – Pupils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2100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that are designed to assess and improve the well-being of pupils and to supplement the teaching process.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szCs w:val="22"/>
              </w:rPr>
            </w:pPr>
            <w:r>
              <w:rPr>
                <w:szCs w:val="22"/>
              </w:rPr>
              <w:t>Attendance and Social Work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for the improvement of pupils' attendance at school and the performance of school social work activities dealing with the problems of pupils that involve the home, school, and community.</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szCs w:val="22"/>
              </w:rPr>
            </w:pPr>
            <w:r>
              <w:rPr>
                <w:szCs w:val="22"/>
              </w:rPr>
              <w:t>Guidance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Counseling with pupils or parents, consultation with staff members on learning problems, evaluating abilities of pupils, assisting pupils in making educational and career plans and choices, assisting pupils in personal and social development, providing referral assistance, and working with other staff members in planning and conducting guidance programs.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szCs w:val="22"/>
              </w:rPr>
            </w:pPr>
            <w:r>
              <w:rPr>
                <w:szCs w:val="22"/>
              </w:rPr>
              <w:t>Health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Physical and mental health services that do not constitute direct instruction.  Included are activities that provide pupils with appropriate medical, dental, and nursing services.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szCs w:val="22"/>
              </w:rPr>
            </w:pPr>
            <w:r>
              <w:rPr>
                <w:szCs w:val="22"/>
              </w:rPr>
              <w:lastRenderedPageBreak/>
              <w:t>Psychological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2140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administering psychological tests and interpreting the results, gathering and interpreting information about pupils' behavior, working with other staff members in planning school programs to meet the special needs of pupils as indicated by psychological tests and behavioral evaluation, and planning and managing a program of psychological services, including psychological counseling for pupils, staff, and parents.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firstLine="9"/>
              <w:rPr>
                <w:szCs w:val="22"/>
              </w:rPr>
            </w:pPr>
            <w:r>
              <w:rPr>
                <w:szCs w:val="22"/>
              </w:rPr>
              <w:t>Speech Pathology and Audiology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2150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involving the identification, assessment, and treatment of children with impairments in speech, hearing, and language.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Other Support Services − Pupils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2190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Other support services for pupils not classified in Accounts 2100-2159.  Expenditures that may be included are therapists, crossing guards, graduation, student assembly programs, monitors for playgrounds, study halls, etc.  (Describe and itemize.)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Total Support Services − Pupils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2100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Support Services − Instructional Staff</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2200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assisting the instructional staff with the content and process of providing learning experiences for pupils.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Improvement of Instruction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2210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for assisting instructional staff in planning, developing, and evaluating the instructional process.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Educational Media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2220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the use of all teaching and learning resources, including hardware and content materials.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Assessment and Testing</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2230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for the purpose of measuring individual students' achievement.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Total Support Services − Instructional Staff</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2200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i/>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Support Services − General Administration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2300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establishing and administering policy in connection with operating the district.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Board of Education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of the elected or appointed body that is vested with responsibility for educational activities in a given district.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Executive Administration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associated with the overall management of the district.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lastRenderedPageBreak/>
              <w:t>Service Area Administrative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supervisory responsibilities for federal programs, special programs, and/or "Title" programs not included in Account 2310 or 2320.  When the same individual directs both special programs and other service areas, the services of that individual should be prorated among the relevant areas.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u w:val="single"/>
              </w:rPr>
            </w:pPr>
            <w:r>
              <w:rPr>
                <w:szCs w:val="22"/>
              </w:rPr>
              <w:t>ROE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2340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ind w:left="47"/>
              <w:rPr>
                <w:szCs w:val="22"/>
                <w:u w:val="single"/>
              </w:rPr>
            </w:pP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ROE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2350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ind w:left="47"/>
              <w:rPr>
                <w:szCs w:val="22"/>
                <w:u w:val="single"/>
              </w:rPr>
            </w:pP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Claims Paid from Self-Insurance Fund</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2361</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Pr="005D2839" w:rsidRDefault="005D2839" w:rsidP="001123DA">
            <w:pPr>
              <w:ind w:left="47"/>
              <w:rPr>
                <w:szCs w:val="22"/>
              </w:rPr>
            </w:pPr>
            <w:r w:rsidRPr="005D2839">
              <w:rPr>
                <w:lang w:bidi="en-US"/>
              </w:rPr>
              <w:t xml:space="preserve">Expenditures incurred in accordance with the Local Governmental and Governmental Employees Tort Immunity Act for claims paid from </w:t>
            </w:r>
            <w:r w:rsidR="001123DA">
              <w:rPr>
                <w:lang w:bidi="en-US"/>
              </w:rPr>
              <w:t>s</w:t>
            </w:r>
            <w:r w:rsidRPr="005D2839">
              <w:rPr>
                <w:lang w:bidi="en-US"/>
              </w:rPr>
              <w:t>elf-</w:t>
            </w:r>
            <w:r w:rsidR="001123DA">
              <w:rPr>
                <w:lang w:bidi="en-US"/>
              </w:rPr>
              <w:t>i</w:t>
            </w:r>
            <w:r w:rsidRPr="005D2839">
              <w:rPr>
                <w:lang w:bidi="en-US"/>
              </w:rPr>
              <w:t xml:space="preserve">nsurance and paid with funds from the </w:t>
            </w:r>
            <w:r w:rsidR="001123DA">
              <w:rPr>
                <w:lang w:bidi="en-US"/>
              </w:rPr>
              <w:t>t</w:t>
            </w:r>
            <w:r w:rsidRPr="005D2839">
              <w:rPr>
                <w:lang w:bidi="en-US"/>
              </w:rPr>
              <w:t xml:space="preserve">ort </w:t>
            </w:r>
            <w:r w:rsidR="001123DA">
              <w:rPr>
                <w:lang w:bidi="en-US"/>
              </w:rPr>
              <w:t>l</w:t>
            </w:r>
            <w:r w:rsidRPr="005D2839">
              <w:rPr>
                <w:lang w:bidi="en-US"/>
              </w:rPr>
              <w:t>evy purpose proceeds.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Risk Management and Claims Services Payments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2365</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Pr="005D2839" w:rsidRDefault="005D2839" w:rsidP="001123DA">
            <w:pPr>
              <w:ind w:left="47"/>
              <w:rPr>
                <w:szCs w:val="22"/>
              </w:rPr>
            </w:pPr>
            <w:r w:rsidRPr="005D2839">
              <w:rPr>
                <w:szCs w:val="18"/>
                <w:lang w:bidi="en-US"/>
              </w:rPr>
              <w:t xml:space="preserve">Risk Management and Claims Service payments contracted to protect school board members against loss due to accident or neglect </w:t>
            </w:r>
            <w:r w:rsidRPr="005D2839">
              <w:rPr>
                <w:szCs w:val="22"/>
                <w:lang w:bidi="en-US"/>
              </w:rPr>
              <w:t xml:space="preserve">in accordance the Local Governmental and Governmental Employees Tort Immunity Act </w:t>
            </w:r>
            <w:r w:rsidRPr="005D2839">
              <w:rPr>
                <w:szCs w:val="18"/>
                <w:lang w:bidi="en-US"/>
              </w:rPr>
              <w:t xml:space="preserve">and paid with funds from the </w:t>
            </w:r>
            <w:r w:rsidR="001123DA">
              <w:rPr>
                <w:szCs w:val="18"/>
                <w:lang w:bidi="en-US"/>
              </w:rPr>
              <w:t>t</w:t>
            </w:r>
            <w:r w:rsidRPr="005D2839">
              <w:rPr>
                <w:szCs w:val="18"/>
                <w:lang w:bidi="en-US"/>
              </w:rPr>
              <w:t xml:space="preserve">ort </w:t>
            </w:r>
            <w:r w:rsidR="001123DA">
              <w:rPr>
                <w:szCs w:val="18"/>
                <w:lang w:bidi="en-US"/>
              </w:rPr>
              <w:t>l</w:t>
            </w:r>
            <w:r w:rsidRPr="005D2839">
              <w:rPr>
                <w:szCs w:val="18"/>
                <w:lang w:bidi="en-US"/>
              </w:rPr>
              <w:t xml:space="preserve">evy purpose proceeds. (Payments for employee risk management are charged to the appropriate function for which the salaries were incurred.  If the expenditure is paid with </w:t>
            </w:r>
            <w:r w:rsidR="001123DA">
              <w:rPr>
                <w:szCs w:val="18"/>
                <w:lang w:bidi="en-US"/>
              </w:rPr>
              <w:t>t</w:t>
            </w:r>
            <w:r w:rsidRPr="005D2839">
              <w:rPr>
                <w:szCs w:val="18"/>
                <w:lang w:bidi="en-US"/>
              </w:rPr>
              <w:t xml:space="preserve">ort </w:t>
            </w:r>
            <w:r w:rsidR="001123DA">
              <w:rPr>
                <w:szCs w:val="18"/>
                <w:lang w:bidi="en-US"/>
              </w:rPr>
              <w:t>r</w:t>
            </w:r>
            <w:r w:rsidRPr="005D2839">
              <w:rPr>
                <w:szCs w:val="18"/>
                <w:lang w:bidi="en-US"/>
              </w:rPr>
              <w:t>evenue proceeds, the expenditure should be posted to the appropriate function within the Tort Fund.)</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Total Support Services − General Administration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2300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Support Services − School Administration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2400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overall administrative responsibility for a single school or a group of schools.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Office of the Principal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2410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managing a particular school, including the activities of the principal, assistant principals, and other assistants in general supervision of all operations of the school, and including clerical staff for these activities.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Other Support Services − School Administration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2490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performed by persons usually classified as department heads or deans within schools and other school administration services that cannot be recorded under Account 2410.  (Describe and itemize.)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Total Support Services − School Administration</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2400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Support Services − Business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2500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accounting, purchasing, paying, transporting, exchanging, and maintaining goods and services for the district, including internal business services for operating all schools.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lastRenderedPageBreak/>
              <w:t>Direction of Business Support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directing and managing the business services area, such as those usually performed by the office of the chief school business official or business manager.</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Fiscal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the fiscal operations of the district.  This function includes budgeting, receiving and disbursing, bookkeeping, financial accounting, payroll, inventory control, and internal auditing.</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Facilities Acquisition and Construction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acquisition of land and buildings, remodeling buildings, construction of buildings and additions to buildings, initial installation or extension of service systems and other built-in equipment, and improvements to sites.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Operation and Maintenance of Plant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2540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keeping the physical plant (i.e., grounds, buildings, and equipment) in an effective and safe working condition.  This includes activities aimed at maintaining safety in buildings, on the grounds, and in the vicinity of schools.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Pupil Transportation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2550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conveying pupils to and from school as provided by Article 29 of the School Code [105 ILCS 5/Art. 29] and 23 Ill. Adm. Code 120 (Pupil Transportation Reimbursement).  Includes trips between home and school and trips to school activities.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Food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2560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providing food to pupils and staff in a school or district.  This service area includes the preparation and serving of regular and incidental meals, lunches, or snacks in connection with school activities and the delivery of food.</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Internal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2570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buying, storing, and distributing supplies, furniture, and equipment; those activities concerned with internal duplicating and printing for the school system; and the pickup and transporting of cash from school facilities to the central administrative office or bank for control or deposit.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Total Support Services − Business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2500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Support Services − Central</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2600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other than general administration, that support each of the other instructional and supporting services programs.  These activities include planning, research, development, evaluation, information, staff, statistical, and data processing services.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Direction of Central Support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2610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directing and managing the central support services as a group.</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lastRenderedPageBreak/>
              <w:t>Planning, Research, Development, and Evaluation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2620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associated with conducting and managing programs of planning, research, development, and evaluation for a school system on a system-wide basis.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Information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2630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writing, editing, and other preparation necessary to disseminate educational and administrative information to pupils, staff, managers, or the general public through direct mailing, the various news media, or personal contact.</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Staff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2640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generally performed by the district's personnel office, such as recruiting and placement, staff transfers, in-service training, health services, and staff accounting.</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Data Processing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2660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7"/>
              <w:rPr>
                <w:szCs w:val="22"/>
              </w:rPr>
            </w:pPr>
            <w:r>
              <w:rPr>
                <w:szCs w:val="22"/>
              </w:rPr>
              <w:t>Activities concerned with preparing data for storage, sorting data, and retrieving them for reproduction as information for management and reporting.</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Total Support Services − Central</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2600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szCs w:val="22"/>
              </w:rPr>
            </w:pPr>
            <w:r>
              <w:rPr>
                <w:b/>
                <w:szCs w:val="22"/>
              </w:rPr>
              <w:t>Other Support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2900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of any support service or classification of services, general in nature, that cannot be classified elsewhere in the 2000 series of accounts.  (Describe and itemize.)</w:t>
            </w: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TOTAL SUPPORT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2000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COMMUNITY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3000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provided by the district for the community as a whole or some segment of the community, such as community recreation programs, civic organization activities, public libraries, programs of custody and child care, welfare services, services to nonpublic schools, and home/school services.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Direction of Community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3100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concerned with directing and managing community services activities.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Community Recreation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3200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include organizing and supervising playgrounds, swimming pools, and other recreational programs for the community.</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Civic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3300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provided in support of civic affairs or organizations, including services for parent-teacher association meetings, public forums and lectures, and for civil defense planning.</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Public Library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3400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Activities related to the operation of public libraries by a district, or the provision of library services to the general public through the school's library.</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lastRenderedPageBreak/>
              <w:t>Custody and Child Care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3500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Programs for the custodial care of children in residential day schools or child care centers that are not part of, or directly related to, the instructional program and where the attendance of the children is not included in the district's attendance figures.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Welfare Activities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3600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for individuals who have been designated as needy by an appropriate governmental entity, including stipends for school attendance; salaries paid to pupils for work performed, whether for the district or for an outside concern; and clothing, food, or other personal needs.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smartTag w:uri="urn:schemas-microsoft-com:office:smarttags" w:element="place">
              <w:smartTag w:uri="urn:schemas-microsoft-com:office:smarttags" w:element="PlaceName">
                <w:r>
                  <w:rPr>
                    <w:szCs w:val="22"/>
                  </w:rPr>
                  <w:t>Nonpublic</w:t>
                </w:r>
              </w:smartTag>
              <w:r>
                <w:rPr>
                  <w:szCs w:val="22"/>
                </w:rPr>
                <w:t xml:space="preserve"> </w:t>
              </w:r>
              <w:smartTag w:uri="urn:schemas-microsoft-com:office:smarttags" w:element="PlaceType">
                <w:r>
                  <w:rPr>
                    <w:szCs w:val="22"/>
                  </w:rPr>
                  <w:t>School</w:t>
                </w:r>
              </w:smartTag>
            </w:smartTag>
            <w:r>
              <w:rPr>
                <w:szCs w:val="22"/>
              </w:rPr>
              <w:t xml:space="preserve"> Pupils'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3700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to pupils attending a school established by an agency other than the State, a subdivision of the State, or the federal government, which usually is supported primarily by nonpublic funds.  The services include providing instructional services, attendance and social work services, health services, and transportation services for nonpublic school pupils.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Home/School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3800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usually provided in the home, that are designed to provide school readiness training to preschool children and their parents or to help parents provide educational support to their children of school age.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Other Community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3900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Services provided to the community that cannot be classified elsewhere in the 3000 series of accounts.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TOTAL COMMUNITY SERVICES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3000</w:t>
            </w:r>
          </w:p>
        </w:tc>
        <w:tc>
          <w:tcPr>
            <w:tcW w:w="284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9"/>
        <w:gridCol w:w="1117"/>
        <w:gridCol w:w="5327"/>
      </w:tblGrid>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 xml:space="preserve">PAYMENTS TO OTHER DISTRICTS </w:t>
            </w:r>
            <w:smartTag w:uri="urn:schemas-microsoft-com:office:smarttags" w:element="stockticker">
              <w:r>
                <w:rPr>
                  <w:b/>
                  <w:bCs/>
                  <w:szCs w:val="22"/>
                </w:rPr>
                <w:t>AND</w:t>
              </w:r>
            </w:smartTag>
            <w:r>
              <w:rPr>
                <w:b/>
                <w:bCs/>
                <w:szCs w:val="22"/>
              </w:rPr>
              <w:t xml:space="preserve"> GOVERNMENTAL UNITS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4000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All payments to other districts (formerly "Non-programmed Charges").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Payments to Other Governmental Units (In-State)</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4100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to in-state districts, generally for tuition, transportation, and all other services rendered to pupils residing in the paying district.  When a nonoperating district pays an operating district for the education of pupils, the nonoperating district records the payments here.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Regular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4110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made to districts for services (exclusive of tuition and transfers).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Special Education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4120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for special education services other than tuition and transfers.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Adult/Continuing Education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4130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u w:val="single"/>
              </w:rPr>
            </w:pPr>
            <w:r>
              <w:rPr>
                <w:szCs w:val="22"/>
              </w:rPr>
              <w:t>Payments for services related to adult/continuing education programs other than tuition and transfers.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lastRenderedPageBreak/>
              <w:t>Payments for CTE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4140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for services related to career and technical education programs other than tuition and transfers.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Other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4160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for other programs (describe and itemize).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Community College Programs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4170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u w:val="single"/>
              </w:rPr>
            </w:pPr>
            <w:r>
              <w:rPr>
                <w:szCs w:val="22"/>
              </w:rPr>
              <w:t>Payments made to community colleges for services other than tuition and transfers.</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Reserved for "On-Behalf" Payments by the State</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4180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Reserved for "on-behalf" payments by the State.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Other Payments to In-State Governmental Units</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4190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Other payments made to in-state governmental units not classified elsewhere in the 4100 series of accounts (e.g., payments to intermediate service centers, regional offices of education, and the State Board of Education).  (Describe and itemize.)</w:t>
            </w:r>
          </w:p>
        </w:tc>
      </w:tr>
      <w:tr w:rsidR="004D6DF5" w:rsidTr="004D6DF5">
        <w:trPr>
          <w:cantSplit/>
        </w:trPr>
        <w:tc>
          <w:tcPr>
            <w:tcW w:w="15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Subtotal Payments to Other Governmental Units (In-State)</w:t>
            </w:r>
          </w:p>
        </w:tc>
        <w:tc>
          <w:tcPr>
            <w:tcW w:w="5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4100</w:t>
            </w:r>
          </w:p>
        </w:tc>
        <w:tc>
          <w:tcPr>
            <w:tcW w:w="28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6"/>
              <w:rPr>
                <w:szCs w:val="22"/>
              </w:rPr>
            </w:pPr>
            <w:r>
              <w:rPr>
                <w:szCs w:val="22"/>
              </w:rPr>
              <w:t>Payments to in-state districts for all services rendered to pupils residing in the paying district, other than tuition and transfers.  (Expenditures in this function are not counted in state expenditure totals.)</w:t>
            </w: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5"/>
        <w:gridCol w:w="1139"/>
        <w:gridCol w:w="5309"/>
      </w:tblGrid>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szCs w:val="22"/>
              </w:rPr>
            </w:pPr>
            <w:r>
              <w:rPr>
                <w:b/>
                <w:szCs w:val="22"/>
              </w:rPr>
              <w:t>Payments to Other Governmental Units (In-State)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4200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Regular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4210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 related to regular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Special Education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4220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 related to special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Adult/Continuing Education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4230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 related to adult/continuing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CTE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4240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 related to career and technical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Community College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4270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to community colleges for the cost of tuition.</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for Other Programs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4280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Payments for tuition for other programs (describe and itemize).</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Other Payments to In-State Governmental Units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4290</w:t>
            </w:r>
          </w:p>
        </w:tc>
        <w:tc>
          <w:tcPr>
            <w:tcW w:w="28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8"/>
              <w:rPr>
                <w:szCs w:val="22"/>
              </w:rPr>
            </w:pPr>
            <w:r>
              <w:rPr>
                <w:szCs w:val="22"/>
              </w:rPr>
              <w:t>Other tuition payments made to in-state governmental units not classified elsewhere in the 4200 series of accounts (e.g., payments to intermediate service centers, regional offices of education, and the State Board of Education).  (Describe and itemize.)</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Subtotal Payments to Other Governmental Units (In-State) − Tuition</w:t>
            </w:r>
          </w:p>
        </w:tc>
        <w:tc>
          <w:tcPr>
            <w:tcW w:w="6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4200</w:t>
            </w:r>
          </w:p>
        </w:tc>
        <w:tc>
          <w:tcPr>
            <w:tcW w:w="2838"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05"/>
        <w:gridCol w:w="1137"/>
        <w:gridCol w:w="5311"/>
      </w:tblGrid>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lastRenderedPageBreak/>
              <w:t>Payments to Other Governmental Units (In-State)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4300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to in-state districts, generally for tuition, transportation, and all other services rendered to pupils residing in the paying district.  When a nonoperating district pays an operating district for the education of pupils, the nonoperating district records the payments here.</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Regular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4310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districts, generally for tuition, services, and transportation related to regular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Special Education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4320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districts, generally for tuition, services, and transportation related to special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Adult/Continuing Education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4330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districts, generally for tuition, services, and transportation related to adult/continuing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CTE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4340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districts, generally for tuition, services, and transportation related to career and technical education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Community College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4370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community colleges for the cost of tuition or services provided.</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Payments for Other Programs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4380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Payments made to districts for other programs.</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Other Payments to In-State Government Units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4390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7"/>
              <w:rPr>
                <w:szCs w:val="22"/>
              </w:rPr>
            </w:pPr>
            <w:r>
              <w:rPr>
                <w:szCs w:val="22"/>
              </w:rPr>
              <w:t>Other payments made to in-state governmental units not classified elsewhere in the 4300 series of accounts (e.g., payments to intermediate service centers, regional offices of education, and the State Board of Education).  (Describe and itemize.)</w:t>
            </w:r>
          </w:p>
        </w:tc>
      </w:tr>
      <w:tr w:rsidR="004D6DF5" w:rsidTr="004D6DF5">
        <w:trPr>
          <w:cantSplit/>
        </w:trPr>
        <w:tc>
          <w:tcPr>
            <w:tcW w:w="15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Subtotal Payments to Other Governmental Units (In-State) − Transfers</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4300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42"/>
        <w:gridCol w:w="1100"/>
        <w:gridCol w:w="5311"/>
      </w:tblGrid>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Payments to Other Governmental Units − Out of State</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4400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9"/>
              <w:rPr>
                <w:szCs w:val="22"/>
              </w:rPr>
            </w:pPr>
            <w:r>
              <w:rPr>
                <w:szCs w:val="22"/>
              </w:rPr>
              <w:t>Payments to out-of-state districts for services rendered to pupils residing in the paying district, generally for tuition and transportation.  When a governmental unit in one state collects money from a nonoperating district for the education of pupils from the nonoperating district and pays it to an operating district in another state, the nonoperating district records the payments here.  (These are not counted in national totals of expenditures.)</w:t>
            </w:r>
          </w:p>
        </w:tc>
      </w:tr>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lastRenderedPageBreak/>
              <w:t>Payments to Other Governmental Units (Out-of-State)</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4410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9"/>
              <w:rPr>
                <w:szCs w:val="22"/>
              </w:rPr>
            </w:pPr>
            <w:r>
              <w:rPr>
                <w:szCs w:val="22"/>
              </w:rPr>
              <w:t>Payments to out-of-state districts for services rendered to pupils residing in the paying district, generally for tuition and transportation.  When a governmental unit in one state collects money from a nonoperating district for the education of pupils from the nonoperating district and pays it to an operating district in another state, the nonoperating district records the payments here.  (These are not counted in national totals of expenditures.) (Describe and itemize.)</w:t>
            </w:r>
          </w:p>
        </w:tc>
      </w:tr>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to Other Governmental Units (Out-of-State) − Tuition</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4420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9"/>
              <w:rPr>
                <w:szCs w:val="22"/>
                <w:u w:val="single"/>
              </w:rPr>
            </w:pPr>
            <w:r>
              <w:rPr>
                <w:szCs w:val="22"/>
              </w:rPr>
              <w:t>Payments to out-of-state districts for services rendered to pupils residing in the paying district, generally for tuition and transportation.  When a governmental unit in one state collects money from a nonoperating district for the education of pupils from the nonoperating district and pays it to an operating district in another state, the nonoperating district records the payments here.  (These are not counted in national totals of expenditures.) (Describe and itemize.)</w:t>
            </w:r>
          </w:p>
        </w:tc>
      </w:tr>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szCs w:val="22"/>
              </w:rPr>
            </w:pPr>
            <w:r>
              <w:rPr>
                <w:szCs w:val="22"/>
              </w:rPr>
              <w:t>Payments to Other Governmental Units (Out-of-State) − Transfers</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4430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49"/>
              <w:rPr>
                <w:szCs w:val="22"/>
              </w:rPr>
            </w:pPr>
            <w:r>
              <w:rPr>
                <w:szCs w:val="22"/>
              </w:rPr>
              <w:t>Payments to out-of-state districts for services rendered to pupils residing in the paying district, generally for tuition and transportation.  When a governmental unit in one state collects money from a nonoperating district for the education of pupils from the nonoperating district and pays it to an operating district in another state, the nonoperating district records the payments here.  (These are not counted in national totals of expenditures.) (Describe and itemize.)</w:t>
            </w:r>
          </w:p>
        </w:tc>
      </w:tr>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68"/>
              <w:rPr>
                <w:b/>
                <w:bCs/>
                <w:szCs w:val="22"/>
              </w:rPr>
            </w:pPr>
            <w:r>
              <w:rPr>
                <w:b/>
                <w:bCs/>
                <w:szCs w:val="22"/>
              </w:rPr>
              <w:t>Subtotal Payments to Other Governmental Units (Out-of-State)</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4400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42"/>
        <w:gridCol w:w="1100"/>
        <w:gridCol w:w="5311"/>
      </w:tblGrid>
      <w:tr w:rsidR="004D6DF5" w:rsidTr="004D6DF5">
        <w:trPr>
          <w:cantSplit/>
        </w:trPr>
        <w:tc>
          <w:tcPr>
            <w:tcW w:w="15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 xml:space="preserve">TOTAL PAYMENTS TO OTHER DISTRICTS </w:t>
            </w:r>
            <w:smartTag w:uri="urn:schemas-microsoft-com:office:smarttags" w:element="stockticker">
              <w:r>
                <w:rPr>
                  <w:b/>
                  <w:bCs/>
                  <w:szCs w:val="22"/>
                </w:rPr>
                <w:t>AND</w:t>
              </w:r>
            </w:smartTag>
            <w:r>
              <w:rPr>
                <w:b/>
                <w:bCs/>
                <w:szCs w:val="22"/>
              </w:rPr>
              <w:t xml:space="preserve"> GOVERNMENTAL UNITS</w:t>
            </w:r>
          </w:p>
        </w:tc>
        <w:tc>
          <w:tcPr>
            <w:tcW w:w="5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4000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59"/>
        <w:gridCol w:w="1083"/>
        <w:gridCol w:w="5311"/>
      </w:tblGrid>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DEBT SERVICE</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5000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1"/>
              <w:rPr>
                <w:szCs w:val="22"/>
              </w:rPr>
            </w:pPr>
            <w:r>
              <w:rPr>
                <w:szCs w:val="22"/>
              </w:rPr>
              <w:t>Servicing of the district's debts.</w:t>
            </w: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Debt Service − Interest on Short-Term Debt</w:t>
            </w:r>
          </w:p>
        </w:tc>
        <w:tc>
          <w:tcPr>
            <w:tcW w:w="57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DF5" w:rsidRDefault="004D6DF5">
            <w:pPr>
              <w:jc w:val="center"/>
              <w:rPr>
                <w:b/>
                <w:szCs w:val="22"/>
              </w:rPr>
            </w:pPr>
            <w:r>
              <w:rPr>
                <w:b/>
                <w:szCs w:val="22"/>
              </w:rPr>
              <w:t>5100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Tax Anticipation Warrants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5110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Tax Anticipation Notes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5120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lastRenderedPageBreak/>
              <w:t>Corporate Personal Property Replacement Tax Anticipation Notes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5130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State Aid Anticipation Certificates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5140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szCs w:val="22"/>
              </w:rPr>
            </w:pPr>
            <w:r>
              <w:rPr>
                <w:szCs w:val="22"/>
              </w:rPr>
              <w:t>Other Interest on Short-Term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5150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77"/>
              <w:rPr>
                <w:b/>
                <w:bCs/>
                <w:szCs w:val="22"/>
              </w:rPr>
            </w:pPr>
            <w:r>
              <w:rPr>
                <w:b/>
                <w:bCs/>
                <w:szCs w:val="22"/>
              </w:rPr>
              <w:t>Total Debt Service Interest – Short-Term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5100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59"/>
        <w:gridCol w:w="1083"/>
        <w:gridCol w:w="5311"/>
      </w:tblGrid>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b/>
                <w:bCs/>
                <w:szCs w:val="22"/>
              </w:rPr>
            </w:pPr>
            <w:r>
              <w:rPr>
                <w:b/>
                <w:bCs/>
                <w:szCs w:val="22"/>
              </w:rPr>
              <w:t>Debt Service − Interest on Long-Term Debt</w:t>
            </w:r>
          </w:p>
        </w:tc>
        <w:tc>
          <w:tcPr>
            <w:tcW w:w="57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DF5" w:rsidRDefault="004D6DF5">
            <w:pPr>
              <w:jc w:val="center"/>
              <w:rPr>
                <w:b/>
                <w:szCs w:val="22"/>
              </w:rPr>
            </w:pPr>
            <w:r>
              <w:rPr>
                <w:b/>
                <w:szCs w:val="22"/>
              </w:rPr>
              <w:t>5200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Teachers'/Employees' Orders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5210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General Obligation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5220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Tort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5230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Capital Appreciation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5240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Revenue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5250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Other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5260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Capital Leases, Installment Purchase Agreements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5270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ISBE Loans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rPr>
            </w:pPr>
            <w:r>
              <w:rPr>
                <w:szCs w:val="22"/>
              </w:rPr>
              <w:t>5280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szCs w:val="22"/>
              </w:rPr>
            </w:pPr>
            <w:r>
              <w:rPr>
                <w:szCs w:val="22"/>
              </w:rPr>
              <w:t>Other Interest on Long-Term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szCs w:val="22"/>
                <w:u w:val="single"/>
              </w:rPr>
            </w:pPr>
            <w:r>
              <w:rPr>
                <w:szCs w:val="22"/>
              </w:rPr>
              <w:t>5290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1"/>
              <w:rPr>
                <w:szCs w:val="22"/>
              </w:rPr>
            </w:pPr>
            <w:r>
              <w:rPr>
                <w:szCs w:val="22"/>
              </w:rPr>
              <w:t>Describe and itemize.</w:t>
            </w: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86"/>
              <w:rPr>
                <w:b/>
                <w:bCs/>
                <w:szCs w:val="22"/>
              </w:rPr>
            </w:pPr>
            <w:r>
              <w:rPr>
                <w:b/>
                <w:bCs/>
                <w:szCs w:val="22"/>
              </w:rPr>
              <w:t>Total Debt Service − Interest on Long-Term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5200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59"/>
        <w:gridCol w:w="1083"/>
        <w:gridCol w:w="5311"/>
      </w:tblGrid>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Debt Service − Payment of Principal on Long-Term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szCs w:val="22"/>
              </w:rPr>
            </w:pPr>
            <w:r>
              <w:rPr>
                <w:b/>
                <w:szCs w:val="22"/>
              </w:rPr>
              <w:t>5300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Teachers'/Employees' Orders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5310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General Obligation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5320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Tort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5330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Capital Appreciation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5340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Revenue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5350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Other Bonds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5360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Capital Leases, Installment Purchase Agreements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5370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ISBE Loans</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5380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6DF5" w:rsidRDefault="004D6DF5">
            <w:pPr>
              <w:rPr>
                <w:szCs w:val="22"/>
              </w:rPr>
            </w:pP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szCs w:val="22"/>
              </w:rPr>
            </w:pPr>
            <w:r>
              <w:rPr>
                <w:szCs w:val="22"/>
              </w:rPr>
              <w:t>Other Principal on Long-Term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Cs/>
                <w:szCs w:val="22"/>
              </w:rPr>
            </w:pPr>
            <w:r>
              <w:rPr>
                <w:bCs/>
                <w:szCs w:val="22"/>
              </w:rPr>
              <w:t>5390</w:t>
            </w:r>
          </w:p>
        </w:tc>
        <w:tc>
          <w:tcPr>
            <w:tcW w:w="2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1"/>
              <w:rPr>
                <w:szCs w:val="22"/>
              </w:rPr>
            </w:pPr>
            <w:r>
              <w:rPr>
                <w:szCs w:val="22"/>
              </w:rPr>
              <w:t>Describe and itemize.</w:t>
            </w:r>
          </w:p>
        </w:tc>
      </w:tr>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t>Total Debt Service − Payment of Principal on Long-Term Debt</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5300</w:t>
            </w:r>
          </w:p>
        </w:tc>
        <w:tc>
          <w:tcPr>
            <w:tcW w:w="2839" w:type="pct"/>
            <w:tcBorders>
              <w:top w:val="single" w:sz="4" w:space="0" w:color="auto"/>
              <w:left w:val="single" w:sz="4" w:space="0" w:color="auto"/>
              <w:bottom w:val="single" w:sz="4" w:space="0" w:color="auto"/>
              <w:right w:val="single" w:sz="4" w:space="0" w:color="auto"/>
            </w:tcBorders>
            <w:shd w:val="pct12" w:color="auto" w:fill="C0C0C0"/>
            <w:tcMar>
              <w:top w:w="0" w:type="dxa"/>
              <w:left w:w="0" w:type="dxa"/>
              <w:bottom w:w="0" w:type="dxa"/>
              <w:right w:w="0" w:type="dxa"/>
            </w:tcMar>
          </w:tcPr>
          <w:p w:rsidR="004D6DF5" w:rsidRDefault="004D6DF5">
            <w:pPr>
              <w:rPr>
                <w:szCs w:val="22"/>
              </w:rPr>
            </w:pPr>
          </w:p>
        </w:tc>
      </w:tr>
    </w:tbl>
    <w:p w:rsidR="004D6DF5" w:rsidRDefault="004D6DF5" w:rsidP="004D6DF5"/>
    <w:tbl>
      <w:tblPr>
        <w:tblW w:w="499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960"/>
        <w:gridCol w:w="1092"/>
        <w:gridCol w:w="5301"/>
      </w:tblGrid>
      <w:tr w:rsidR="004D6DF5" w:rsidTr="004D6DF5">
        <w:trPr>
          <w:cantSplit/>
        </w:trPr>
        <w:tc>
          <w:tcPr>
            <w:tcW w:w="1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59"/>
              <w:rPr>
                <w:b/>
                <w:bCs/>
                <w:szCs w:val="22"/>
              </w:rPr>
            </w:pPr>
            <w:r>
              <w:rPr>
                <w:b/>
                <w:bCs/>
                <w:szCs w:val="22"/>
              </w:rPr>
              <w:lastRenderedPageBreak/>
              <w:t xml:space="preserve">Debt Service Other – Short-Term Debt Principal </w:t>
            </w:r>
          </w:p>
        </w:tc>
        <w:tc>
          <w:tcPr>
            <w:tcW w:w="5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jc w:val="center"/>
              <w:rPr>
                <w:b/>
                <w:bCs/>
                <w:szCs w:val="22"/>
              </w:rPr>
            </w:pPr>
            <w:r>
              <w:rPr>
                <w:b/>
                <w:bCs/>
                <w:szCs w:val="22"/>
              </w:rPr>
              <w:t>5400</w:t>
            </w:r>
          </w:p>
        </w:tc>
        <w:tc>
          <w:tcPr>
            <w:tcW w:w="28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6DF5" w:rsidRDefault="004D6DF5">
            <w:pPr>
              <w:ind w:left="39"/>
              <w:rPr>
                <w:szCs w:val="22"/>
              </w:rPr>
            </w:pPr>
            <w:r>
              <w:rPr>
                <w:szCs w:val="22"/>
              </w:rPr>
              <w:t>Describe and itemize.</w:t>
            </w:r>
          </w:p>
        </w:tc>
      </w:tr>
    </w:tbl>
    <w:p w:rsidR="004D6DF5" w:rsidRDefault="004D6DF5" w:rsidP="004D6DF5"/>
    <w:p w:rsidR="004D6DF5" w:rsidRDefault="005D2839" w:rsidP="004D6DF5">
      <w:pPr>
        <w:ind w:firstLine="720"/>
      </w:pPr>
      <w:r>
        <w:t xml:space="preserve">(Source:  Amended at 44 Ill. Reg. </w:t>
      </w:r>
      <w:r w:rsidR="00454260">
        <w:t>9150</w:t>
      </w:r>
      <w:r>
        <w:t xml:space="preserve">, effective </w:t>
      </w:r>
      <w:bookmarkStart w:id="0" w:name="_GoBack"/>
      <w:r w:rsidR="00454260">
        <w:t>May 12, 2020</w:t>
      </w:r>
      <w:bookmarkEnd w:id="0"/>
      <w:r>
        <w:t>)</w:t>
      </w:r>
    </w:p>
    <w:sectPr w:rsidR="004D6DF5"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DC8" w:rsidRDefault="00CE2DC8">
      <w:r>
        <w:separator/>
      </w:r>
    </w:p>
  </w:endnote>
  <w:endnote w:type="continuationSeparator" w:id="0">
    <w:p w:rsidR="00CE2DC8" w:rsidRDefault="00CE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DC8" w:rsidRDefault="00CE2DC8">
      <w:r>
        <w:separator/>
      </w:r>
    </w:p>
  </w:footnote>
  <w:footnote w:type="continuationSeparator" w:id="0">
    <w:p w:rsidR="00CE2DC8" w:rsidRDefault="00CE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998"/>
    <w:rsid w:val="00001F1D"/>
    <w:rsid w:val="00002988"/>
    <w:rsid w:val="00010F7D"/>
    <w:rsid w:val="00011A7D"/>
    <w:rsid w:val="000122C7"/>
    <w:rsid w:val="000158C8"/>
    <w:rsid w:val="00023902"/>
    <w:rsid w:val="00023DDC"/>
    <w:rsid w:val="000246EF"/>
    <w:rsid w:val="00024942"/>
    <w:rsid w:val="00026C9D"/>
    <w:rsid w:val="00026F05"/>
    <w:rsid w:val="00030823"/>
    <w:rsid w:val="00031AC4"/>
    <w:rsid w:val="0004011F"/>
    <w:rsid w:val="0004212A"/>
    <w:rsid w:val="00042314"/>
    <w:rsid w:val="00050531"/>
    <w:rsid w:val="00061CE1"/>
    <w:rsid w:val="00066013"/>
    <w:rsid w:val="000676A6"/>
    <w:rsid w:val="00074368"/>
    <w:rsid w:val="000765E0"/>
    <w:rsid w:val="00083E97"/>
    <w:rsid w:val="0008689B"/>
    <w:rsid w:val="000910C1"/>
    <w:rsid w:val="000943C4"/>
    <w:rsid w:val="00097B01"/>
    <w:rsid w:val="000A3A12"/>
    <w:rsid w:val="000A4C0F"/>
    <w:rsid w:val="000B2808"/>
    <w:rsid w:val="000B2839"/>
    <w:rsid w:val="000B4119"/>
    <w:rsid w:val="000B7CB5"/>
    <w:rsid w:val="000C6D3D"/>
    <w:rsid w:val="000C7A6D"/>
    <w:rsid w:val="000D074F"/>
    <w:rsid w:val="000D225F"/>
    <w:rsid w:val="000D269B"/>
    <w:rsid w:val="000E08CB"/>
    <w:rsid w:val="000E6BBD"/>
    <w:rsid w:val="000E6FF6"/>
    <w:rsid w:val="000E7A0A"/>
    <w:rsid w:val="000F25A1"/>
    <w:rsid w:val="000F6751"/>
    <w:rsid w:val="00110A0B"/>
    <w:rsid w:val="001123DA"/>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B2D"/>
    <w:rsid w:val="00193ABB"/>
    <w:rsid w:val="0019502A"/>
    <w:rsid w:val="001A68D8"/>
    <w:rsid w:val="001A6EDB"/>
    <w:rsid w:val="001B5B37"/>
    <w:rsid w:val="001B5F27"/>
    <w:rsid w:val="001C1D61"/>
    <w:rsid w:val="001C71C2"/>
    <w:rsid w:val="001C7D95"/>
    <w:rsid w:val="001D0EBA"/>
    <w:rsid w:val="001D0EFC"/>
    <w:rsid w:val="001D374B"/>
    <w:rsid w:val="001E3074"/>
    <w:rsid w:val="001E79F1"/>
    <w:rsid w:val="001F3F2A"/>
    <w:rsid w:val="001F572B"/>
    <w:rsid w:val="001F5F35"/>
    <w:rsid w:val="001F659C"/>
    <w:rsid w:val="002015E7"/>
    <w:rsid w:val="002047E2"/>
    <w:rsid w:val="00207D79"/>
    <w:rsid w:val="002133B1"/>
    <w:rsid w:val="00213BC5"/>
    <w:rsid w:val="00217E05"/>
    <w:rsid w:val="0022052A"/>
    <w:rsid w:val="002209C0"/>
    <w:rsid w:val="00220B91"/>
    <w:rsid w:val="00220EDD"/>
    <w:rsid w:val="00225354"/>
    <w:rsid w:val="0023173C"/>
    <w:rsid w:val="002324A0"/>
    <w:rsid w:val="002325F1"/>
    <w:rsid w:val="002375DD"/>
    <w:rsid w:val="00246F19"/>
    <w:rsid w:val="002524EC"/>
    <w:rsid w:val="00252770"/>
    <w:rsid w:val="00261E3E"/>
    <w:rsid w:val="0026224A"/>
    <w:rsid w:val="002667B7"/>
    <w:rsid w:val="00272138"/>
    <w:rsid w:val="002721C1"/>
    <w:rsid w:val="00272986"/>
    <w:rsid w:val="00274640"/>
    <w:rsid w:val="002760EE"/>
    <w:rsid w:val="00281059"/>
    <w:rsid w:val="0028217D"/>
    <w:rsid w:val="00293BB9"/>
    <w:rsid w:val="002A2E24"/>
    <w:rsid w:val="002A54F1"/>
    <w:rsid w:val="002A643F"/>
    <w:rsid w:val="002A72C2"/>
    <w:rsid w:val="002A7CB6"/>
    <w:rsid w:val="002C5D80"/>
    <w:rsid w:val="002C75E4"/>
    <w:rsid w:val="002D3C4D"/>
    <w:rsid w:val="002D3FBA"/>
    <w:rsid w:val="002D7620"/>
    <w:rsid w:val="002E7188"/>
    <w:rsid w:val="00300843"/>
    <w:rsid w:val="003049E5"/>
    <w:rsid w:val="00305AAE"/>
    <w:rsid w:val="00311C50"/>
    <w:rsid w:val="00314233"/>
    <w:rsid w:val="003146BA"/>
    <w:rsid w:val="003154DD"/>
    <w:rsid w:val="00322AC2"/>
    <w:rsid w:val="00323B50"/>
    <w:rsid w:val="003268EA"/>
    <w:rsid w:val="00337BB9"/>
    <w:rsid w:val="00337CEB"/>
    <w:rsid w:val="00350372"/>
    <w:rsid w:val="0035316E"/>
    <w:rsid w:val="00353C1A"/>
    <w:rsid w:val="00356003"/>
    <w:rsid w:val="003650EA"/>
    <w:rsid w:val="00366B7B"/>
    <w:rsid w:val="00367A2E"/>
    <w:rsid w:val="00370010"/>
    <w:rsid w:val="00374367"/>
    <w:rsid w:val="00374639"/>
    <w:rsid w:val="00375C58"/>
    <w:rsid w:val="00385640"/>
    <w:rsid w:val="00386B2E"/>
    <w:rsid w:val="00393652"/>
    <w:rsid w:val="00394002"/>
    <w:rsid w:val="00397680"/>
    <w:rsid w:val="003A4E0A"/>
    <w:rsid w:val="003B419A"/>
    <w:rsid w:val="003B5138"/>
    <w:rsid w:val="003D0D44"/>
    <w:rsid w:val="003D12E4"/>
    <w:rsid w:val="003D4D4A"/>
    <w:rsid w:val="003E4F9F"/>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54260"/>
    <w:rsid w:val="00461E78"/>
    <w:rsid w:val="00463EC6"/>
    <w:rsid w:val="0047017E"/>
    <w:rsid w:val="00471A17"/>
    <w:rsid w:val="00475AE2"/>
    <w:rsid w:val="004803D4"/>
    <w:rsid w:val="00483B7F"/>
    <w:rsid w:val="0048457F"/>
    <w:rsid w:val="004925CE"/>
    <w:rsid w:val="00493C66"/>
    <w:rsid w:val="0049486A"/>
    <w:rsid w:val="004A2DF2"/>
    <w:rsid w:val="004A58C2"/>
    <w:rsid w:val="004B0153"/>
    <w:rsid w:val="004B41BC"/>
    <w:rsid w:val="004B6FF4"/>
    <w:rsid w:val="004D6DF5"/>
    <w:rsid w:val="004D6EED"/>
    <w:rsid w:val="004D73D3"/>
    <w:rsid w:val="004E49DF"/>
    <w:rsid w:val="004E513F"/>
    <w:rsid w:val="004E61CA"/>
    <w:rsid w:val="004F2328"/>
    <w:rsid w:val="004F57CE"/>
    <w:rsid w:val="005001C5"/>
    <w:rsid w:val="005039E7"/>
    <w:rsid w:val="0050660E"/>
    <w:rsid w:val="005109B5"/>
    <w:rsid w:val="00512795"/>
    <w:rsid w:val="0052263B"/>
    <w:rsid w:val="0052308E"/>
    <w:rsid w:val="005232CE"/>
    <w:rsid w:val="005237D3"/>
    <w:rsid w:val="005253B4"/>
    <w:rsid w:val="00526060"/>
    <w:rsid w:val="00530BE1"/>
    <w:rsid w:val="00531849"/>
    <w:rsid w:val="00532BC8"/>
    <w:rsid w:val="005341A0"/>
    <w:rsid w:val="00542E97"/>
    <w:rsid w:val="00544B77"/>
    <w:rsid w:val="005464D1"/>
    <w:rsid w:val="005579B2"/>
    <w:rsid w:val="0056157E"/>
    <w:rsid w:val="0056501E"/>
    <w:rsid w:val="00571719"/>
    <w:rsid w:val="00571A8B"/>
    <w:rsid w:val="00573770"/>
    <w:rsid w:val="00576975"/>
    <w:rsid w:val="005777E6"/>
    <w:rsid w:val="00583251"/>
    <w:rsid w:val="005840CD"/>
    <w:rsid w:val="00585C19"/>
    <w:rsid w:val="00586A81"/>
    <w:rsid w:val="005901D4"/>
    <w:rsid w:val="00590447"/>
    <w:rsid w:val="005948A7"/>
    <w:rsid w:val="005A2494"/>
    <w:rsid w:val="005A5A79"/>
    <w:rsid w:val="005A73F7"/>
    <w:rsid w:val="005B3281"/>
    <w:rsid w:val="005C2F87"/>
    <w:rsid w:val="005D2839"/>
    <w:rsid w:val="005D35F3"/>
    <w:rsid w:val="005D6698"/>
    <w:rsid w:val="005E03A7"/>
    <w:rsid w:val="005E2061"/>
    <w:rsid w:val="005E3D55"/>
    <w:rsid w:val="00600BD2"/>
    <w:rsid w:val="00604093"/>
    <w:rsid w:val="00611A73"/>
    <w:rsid w:val="006132CE"/>
    <w:rsid w:val="00620BBA"/>
    <w:rsid w:val="006247D4"/>
    <w:rsid w:val="00631875"/>
    <w:rsid w:val="00641AEA"/>
    <w:rsid w:val="0064660E"/>
    <w:rsid w:val="00651FF5"/>
    <w:rsid w:val="00664F77"/>
    <w:rsid w:val="00670B89"/>
    <w:rsid w:val="00672EE7"/>
    <w:rsid w:val="00676EC2"/>
    <w:rsid w:val="006861B7"/>
    <w:rsid w:val="00691405"/>
    <w:rsid w:val="00692220"/>
    <w:rsid w:val="00694C82"/>
    <w:rsid w:val="00695233"/>
    <w:rsid w:val="00695CB6"/>
    <w:rsid w:val="00697F1A"/>
    <w:rsid w:val="006A042E"/>
    <w:rsid w:val="006A2114"/>
    <w:rsid w:val="006A72FE"/>
    <w:rsid w:val="006B1D01"/>
    <w:rsid w:val="006B1E37"/>
    <w:rsid w:val="006B3E84"/>
    <w:rsid w:val="006B5C47"/>
    <w:rsid w:val="006B7535"/>
    <w:rsid w:val="006B7892"/>
    <w:rsid w:val="006C3B6D"/>
    <w:rsid w:val="006C45D5"/>
    <w:rsid w:val="006C4815"/>
    <w:rsid w:val="006C6EFC"/>
    <w:rsid w:val="006D2474"/>
    <w:rsid w:val="006D4438"/>
    <w:rsid w:val="006D7ECF"/>
    <w:rsid w:val="006E1AE0"/>
    <w:rsid w:val="00702A38"/>
    <w:rsid w:val="007044BF"/>
    <w:rsid w:val="0070602C"/>
    <w:rsid w:val="00706262"/>
    <w:rsid w:val="00717DBE"/>
    <w:rsid w:val="00720025"/>
    <w:rsid w:val="00727763"/>
    <w:rsid w:val="007278C5"/>
    <w:rsid w:val="00733E15"/>
    <w:rsid w:val="00735FA6"/>
    <w:rsid w:val="00737469"/>
    <w:rsid w:val="00741EFB"/>
    <w:rsid w:val="00750400"/>
    <w:rsid w:val="00752895"/>
    <w:rsid w:val="00756204"/>
    <w:rsid w:val="007636F2"/>
    <w:rsid w:val="00763B6D"/>
    <w:rsid w:val="00776B13"/>
    <w:rsid w:val="00776D1C"/>
    <w:rsid w:val="00776DAC"/>
    <w:rsid w:val="00777A7A"/>
    <w:rsid w:val="00780733"/>
    <w:rsid w:val="00780B43"/>
    <w:rsid w:val="00790388"/>
    <w:rsid w:val="00794C7C"/>
    <w:rsid w:val="00795479"/>
    <w:rsid w:val="00796D0E"/>
    <w:rsid w:val="007A1867"/>
    <w:rsid w:val="007A7D79"/>
    <w:rsid w:val="007B2E31"/>
    <w:rsid w:val="007C0FB8"/>
    <w:rsid w:val="007C293F"/>
    <w:rsid w:val="007C4EE5"/>
    <w:rsid w:val="007D24F6"/>
    <w:rsid w:val="007E5206"/>
    <w:rsid w:val="007F0AE5"/>
    <w:rsid w:val="007F1A7F"/>
    <w:rsid w:val="007F28A2"/>
    <w:rsid w:val="007F3365"/>
    <w:rsid w:val="00804082"/>
    <w:rsid w:val="00805D72"/>
    <w:rsid w:val="00806780"/>
    <w:rsid w:val="00810296"/>
    <w:rsid w:val="00812709"/>
    <w:rsid w:val="0082307C"/>
    <w:rsid w:val="00824C15"/>
    <w:rsid w:val="00826E97"/>
    <w:rsid w:val="008271B1"/>
    <w:rsid w:val="00833A9E"/>
    <w:rsid w:val="0083503C"/>
    <w:rsid w:val="00837F88"/>
    <w:rsid w:val="008425C1"/>
    <w:rsid w:val="00843EB6"/>
    <w:rsid w:val="00844ABA"/>
    <w:rsid w:val="0084781C"/>
    <w:rsid w:val="0086679B"/>
    <w:rsid w:val="00867A5F"/>
    <w:rsid w:val="00870EF2"/>
    <w:rsid w:val="008717C5"/>
    <w:rsid w:val="0088338B"/>
    <w:rsid w:val="0088496F"/>
    <w:rsid w:val="008923A8"/>
    <w:rsid w:val="008B56EA"/>
    <w:rsid w:val="008B77D8"/>
    <w:rsid w:val="008C1560"/>
    <w:rsid w:val="008C36FB"/>
    <w:rsid w:val="008C4FAF"/>
    <w:rsid w:val="008C5359"/>
    <w:rsid w:val="008D6076"/>
    <w:rsid w:val="008D7182"/>
    <w:rsid w:val="008D7FCD"/>
    <w:rsid w:val="008E68BC"/>
    <w:rsid w:val="008F2BEE"/>
    <w:rsid w:val="009053C8"/>
    <w:rsid w:val="00910413"/>
    <w:rsid w:val="00915F1A"/>
    <w:rsid w:val="009168BC"/>
    <w:rsid w:val="00921471"/>
    <w:rsid w:val="00921F8B"/>
    <w:rsid w:val="009336F6"/>
    <w:rsid w:val="00934057"/>
    <w:rsid w:val="00935A8C"/>
    <w:rsid w:val="00944E3D"/>
    <w:rsid w:val="00947FCE"/>
    <w:rsid w:val="00950386"/>
    <w:rsid w:val="00960C37"/>
    <w:rsid w:val="00961E38"/>
    <w:rsid w:val="00965A76"/>
    <w:rsid w:val="00966D51"/>
    <w:rsid w:val="0098276C"/>
    <w:rsid w:val="00983C53"/>
    <w:rsid w:val="00994782"/>
    <w:rsid w:val="009A26DA"/>
    <w:rsid w:val="009A6ABA"/>
    <w:rsid w:val="009B45F6"/>
    <w:rsid w:val="009B5FFB"/>
    <w:rsid w:val="009B6ECA"/>
    <w:rsid w:val="009C1A93"/>
    <w:rsid w:val="009C5170"/>
    <w:rsid w:val="009C69DD"/>
    <w:rsid w:val="009C7CA2"/>
    <w:rsid w:val="009D219C"/>
    <w:rsid w:val="009D4E6C"/>
    <w:rsid w:val="009E4AE1"/>
    <w:rsid w:val="009E4EBC"/>
    <w:rsid w:val="009E6071"/>
    <w:rsid w:val="009F1070"/>
    <w:rsid w:val="009F6985"/>
    <w:rsid w:val="009F6B1D"/>
    <w:rsid w:val="00A022DE"/>
    <w:rsid w:val="00A04FED"/>
    <w:rsid w:val="00A060CE"/>
    <w:rsid w:val="00A1145B"/>
    <w:rsid w:val="00A11B46"/>
    <w:rsid w:val="00A12B90"/>
    <w:rsid w:val="00A14FBF"/>
    <w:rsid w:val="00A16291"/>
    <w:rsid w:val="00A1799D"/>
    <w:rsid w:val="00A204C1"/>
    <w:rsid w:val="00A2135A"/>
    <w:rsid w:val="00A2265D"/>
    <w:rsid w:val="00A23DC6"/>
    <w:rsid w:val="00A26B95"/>
    <w:rsid w:val="00A31B74"/>
    <w:rsid w:val="00A327AB"/>
    <w:rsid w:val="00A3646E"/>
    <w:rsid w:val="00A41571"/>
    <w:rsid w:val="00A42797"/>
    <w:rsid w:val="00A42B7A"/>
    <w:rsid w:val="00A52BDD"/>
    <w:rsid w:val="00A600AA"/>
    <w:rsid w:val="00A714EA"/>
    <w:rsid w:val="00A72534"/>
    <w:rsid w:val="00A762F2"/>
    <w:rsid w:val="00A809C5"/>
    <w:rsid w:val="00A84F51"/>
    <w:rsid w:val="00A86FF6"/>
    <w:rsid w:val="00A8761E"/>
    <w:rsid w:val="00A87EC5"/>
    <w:rsid w:val="00A91266"/>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0AB2"/>
    <w:rsid w:val="00B6318E"/>
    <w:rsid w:val="00B63EEC"/>
    <w:rsid w:val="00B649AC"/>
    <w:rsid w:val="00B66F59"/>
    <w:rsid w:val="00B678F1"/>
    <w:rsid w:val="00B71019"/>
    <w:rsid w:val="00B71177"/>
    <w:rsid w:val="00B77077"/>
    <w:rsid w:val="00B817A1"/>
    <w:rsid w:val="00B839A1"/>
    <w:rsid w:val="00B83B6B"/>
    <w:rsid w:val="00B8444F"/>
    <w:rsid w:val="00B86B5A"/>
    <w:rsid w:val="00B9765E"/>
    <w:rsid w:val="00BB14AE"/>
    <w:rsid w:val="00BB230E"/>
    <w:rsid w:val="00BB5E4A"/>
    <w:rsid w:val="00BC00FF"/>
    <w:rsid w:val="00BD0ED2"/>
    <w:rsid w:val="00BD17B8"/>
    <w:rsid w:val="00BE03CA"/>
    <w:rsid w:val="00BE123F"/>
    <w:rsid w:val="00BE4839"/>
    <w:rsid w:val="00BE6FBF"/>
    <w:rsid w:val="00BF2353"/>
    <w:rsid w:val="00BF25C2"/>
    <w:rsid w:val="00BF3913"/>
    <w:rsid w:val="00BF5AAE"/>
    <w:rsid w:val="00BF5AE7"/>
    <w:rsid w:val="00BF5B8F"/>
    <w:rsid w:val="00BF694C"/>
    <w:rsid w:val="00BF781C"/>
    <w:rsid w:val="00BF78FB"/>
    <w:rsid w:val="00C1038A"/>
    <w:rsid w:val="00C15FD6"/>
    <w:rsid w:val="00C17F24"/>
    <w:rsid w:val="00C23CE2"/>
    <w:rsid w:val="00C2596B"/>
    <w:rsid w:val="00C25BEC"/>
    <w:rsid w:val="00C3075D"/>
    <w:rsid w:val="00C311DA"/>
    <w:rsid w:val="00C319B3"/>
    <w:rsid w:val="00C42A93"/>
    <w:rsid w:val="00C4537A"/>
    <w:rsid w:val="00C50195"/>
    <w:rsid w:val="00C60D0B"/>
    <w:rsid w:val="00C669E2"/>
    <w:rsid w:val="00C67B51"/>
    <w:rsid w:val="00C72A95"/>
    <w:rsid w:val="00C72C0C"/>
    <w:rsid w:val="00C73CD4"/>
    <w:rsid w:val="00C86122"/>
    <w:rsid w:val="00C9652D"/>
    <w:rsid w:val="00C9697B"/>
    <w:rsid w:val="00CA1E98"/>
    <w:rsid w:val="00CA2022"/>
    <w:rsid w:val="00CA4E7D"/>
    <w:rsid w:val="00CA7140"/>
    <w:rsid w:val="00CB065C"/>
    <w:rsid w:val="00CC13F9"/>
    <w:rsid w:val="00CC4FF8"/>
    <w:rsid w:val="00CD3723"/>
    <w:rsid w:val="00CD5413"/>
    <w:rsid w:val="00CD745A"/>
    <w:rsid w:val="00CE0C7B"/>
    <w:rsid w:val="00CE2DC8"/>
    <w:rsid w:val="00CE2F2F"/>
    <w:rsid w:val="00CE4292"/>
    <w:rsid w:val="00D03A79"/>
    <w:rsid w:val="00D0676C"/>
    <w:rsid w:val="00D10AB9"/>
    <w:rsid w:val="00D2155A"/>
    <w:rsid w:val="00D27015"/>
    <w:rsid w:val="00D2776C"/>
    <w:rsid w:val="00D27E4E"/>
    <w:rsid w:val="00D32AA7"/>
    <w:rsid w:val="00D33832"/>
    <w:rsid w:val="00D45A42"/>
    <w:rsid w:val="00D46468"/>
    <w:rsid w:val="00D55B37"/>
    <w:rsid w:val="00D5634E"/>
    <w:rsid w:val="00D70D8F"/>
    <w:rsid w:val="00D76B84"/>
    <w:rsid w:val="00D77DCF"/>
    <w:rsid w:val="00D876AB"/>
    <w:rsid w:val="00D93C67"/>
    <w:rsid w:val="00D94587"/>
    <w:rsid w:val="00D951E5"/>
    <w:rsid w:val="00D95C2F"/>
    <w:rsid w:val="00D97042"/>
    <w:rsid w:val="00DA026D"/>
    <w:rsid w:val="00DB2CC7"/>
    <w:rsid w:val="00DB78E4"/>
    <w:rsid w:val="00DC016D"/>
    <w:rsid w:val="00DC3AED"/>
    <w:rsid w:val="00DC5FDC"/>
    <w:rsid w:val="00DD3C9D"/>
    <w:rsid w:val="00DD3E33"/>
    <w:rsid w:val="00DD74D4"/>
    <w:rsid w:val="00DE3439"/>
    <w:rsid w:val="00DE3EB2"/>
    <w:rsid w:val="00DF0813"/>
    <w:rsid w:val="00DF25BD"/>
    <w:rsid w:val="00DF5407"/>
    <w:rsid w:val="00E11728"/>
    <w:rsid w:val="00E24167"/>
    <w:rsid w:val="00E24878"/>
    <w:rsid w:val="00E273EC"/>
    <w:rsid w:val="00E30AAC"/>
    <w:rsid w:val="00E34B29"/>
    <w:rsid w:val="00E406C7"/>
    <w:rsid w:val="00E40FDC"/>
    <w:rsid w:val="00E41211"/>
    <w:rsid w:val="00E4457E"/>
    <w:rsid w:val="00E47B6D"/>
    <w:rsid w:val="00E7024C"/>
    <w:rsid w:val="00E716BE"/>
    <w:rsid w:val="00E726BC"/>
    <w:rsid w:val="00E7288E"/>
    <w:rsid w:val="00E73826"/>
    <w:rsid w:val="00E7596C"/>
    <w:rsid w:val="00E840DC"/>
    <w:rsid w:val="00E92947"/>
    <w:rsid w:val="00E96473"/>
    <w:rsid w:val="00EA3AC2"/>
    <w:rsid w:val="00EA5489"/>
    <w:rsid w:val="00EA55CD"/>
    <w:rsid w:val="00EA6628"/>
    <w:rsid w:val="00EB0D3C"/>
    <w:rsid w:val="00EB33C3"/>
    <w:rsid w:val="00EB424E"/>
    <w:rsid w:val="00EC2460"/>
    <w:rsid w:val="00EC3846"/>
    <w:rsid w:val="00EC5ECB"/>
    <w:rsid w:val="00EC6C31"/>
    <w:rsid w:val="00ED1405"/>
    <w:rsid w:val="00EE0429"/>
    <w:rsid w:val="00EE2300"/>
    <w:rsid w:val="00EE654D"/>
    <w:rsid w:val="00EE7170"/>
    <w:rsid w:val="00EF755A"/>
    <w:rsid w:val="00F02FDE"/>
    <w:rsid w:val="00F04307"/>
    <w:rsid w:val="00F0582F"/>
    <w:rsid w:val="00F05968"/>
    <w:rsid w:val="00F12353"/>
    <w:rsid w:val="00F128F8"/>
    <w:rsid w:val="00F12CAF"/>
    <w:rsid w:val="00F13E5A"/>
    <w:rsid w:val="00F16AA7"/>
    <w:rsid w:val="00F204DC"/>
    <w:rsid w:val="00F43DEE"/>
    <w:rsid w:val="00F44D59"/>
    <w:rsid w:val="00F46DB5"/>
    <w:rsid w:val="00F472FA"/>
    <w:rsid w:val="00F50CD3"/>
    <w:rsid w:val="00F51039"/>
    <w:rsid w:val="00F5189B"/>
    <w:rsid w:val="00F525F7"/>
    <w:rsid w:val="00F61FBC"/>
    <w:rsid w:val="00F7117A"/>
    <w:rsid w:val="00F73B7F"/>
    <w:rsid w:val="00F82FB8"/>
    <w:rsid w:val="00F83011"/>
    <w:rsid w:val="00F8452A"/>
    <w:rsid w:val="00F86CDC"/>
    <w:rsid w:val="00F9201D"/>
    <w:rsid w:val="00F942E4"/>
    <w:rsid w:val="00F942E7"/>
    <w:rsid w:val="00F953D5"/>
    <w:rsid w:val="00F97373"/>
    <w:rsid w:val="00F97D67"/>
    <w:rsid w:val="00FA19DB"/>
    <w:rsid w:val="00FA62CF"/>
    <w:rsid w:val="00FB6CE4"/>
    <w:rsid w:val="00FC18E5"/>
    <w:rsid w:val="00FC2BF7"/>
    <w:rsid w:val="00FC3252"/>
    <w:rsid w:val="00FC34CE"/>
    <w:rsid w:val="00FC6998"/>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5:docId w15:val="{8F73BD0F-6226-4783-81AC-A61AB233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77659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2020-04-17T18:26:00Z</dcterms:created>
  <dcterms:modified xsi:type="dcterms:W3CDTF">2020-05-27T15:26:00Z</dcterms:modified>
</cp:coreProperties>
</file>