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BD" w:rsidRDefault="003F0ABD" w:rsidP="003F0ABD">
      <w:pPr>
        <w:rPr>
          <w:rFonts w:ascii="Times New Roman" w:hAnsi="Times New Roman"/>
          <w:b/>
          <w:szCs w:val="24"/>
        </w:rPr>
      </w:pPr>
    </w:p>
    <w:p w:rsidR="003F0ABD" w:rsidRPr="00B47242" w:rsidRDefault="003F0ABD" w:rsidP="003F0ABD">
      <w:pPr>
        <w:rPr>
          <w:rFonts w:ascii="Times New Roman" w:hAnsi="Times New Roman"/>
          <w:b/>
          <w:szCs w:val="24"/>
        </w:rPr>
      </w:pPr>
      <w:r w:rsidRPr="00B47242">
        <w:rPr>
          <w:rFonts w:ascii="Times New Roman" w:hAnsi="Times New Roman"/>
          <w:b/>
          <w:szCs w:val="24"/>
        </w:rPr>
        <w:t>Section 51.260</w:t>
      </w:r>
      <w:r w:rsidRPr="00C215CD">
        <w:rPr>
          <w:rFonts w:ascii="Times New Roman" w:hAnsi="Times New Roman"/>
          <w:szCs w:val="24"/>
        </w:rPr>
        <w:t xml:space="preserve">  </w:t>
      </w:r>
      <w:r w:rsidRPr="00B47242">
        <w:rPr>
          <w:rFonts w:ascii="Times New Roman" w:hAnsi="Times New Roman"/>
          <w:b/>
          <w:szCs w:val="24"/>
        </w:rPr>
        <w:t>Qualifications and Selection of Hearing Officers</w:t>
      </w:r>
    </w:p>
    <w:p w:rsidR="003F0ABD" w:rsidRPr="00B47242" w:rsidRDefault="003F0ABD" w:rsidP="003F0ABD">
      <w:pPr>
        <w:rPr>
          <w:rFonts w:ascii="Times New Roman" w:hAnsi="Times New Roman"/>
          <w:szCs w:val="24"/>
        </w:rPr>
      </w:pPr>
    </w:p>
    <w:p w:rsidR="003F0ABD" w:rsidRPr="00B47242" w:rsidRDefault="003F0ABD" w:rsidP="003F0ABD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a)</w:t>
      </w:r>
      <w:r w:rsidRPr="00B47242">
        <w:rPr>
          <w:rFonts w:ascii="Times New Roman" w:hAnsi="Times New Roman"/>
          <w:szCs w:val="24"/>
        </w:rPr>
        <w:tab/>
        <w:t>School districts not organized under Article 34 of the School Code shall select a hearing officer in accordance with the requirements of Section 51.40(a) of this Part.</w:t>
      </w:r>
    </w:p>
    <w:p w:rsidR="003F0ABD" w:rsidRPr="00B47242" w:rsidRDefault="003F0ABD" w:rsidP="003F0ABD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</w:p>
    <w:p w:rsidR="003F0ABD" w:rsidRPr="00B47242" w:rsidRDefault="003F0ABD" w:rsidP="003F0ABD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b)</w:t>
      </w:r>
      <w:r w:rsidRPr="00B47242">
        <w:rPr>
          <w:rFonts w:ascii="Times New Roman" w:hAnsi="Times New Roman"/>
          <w:szCs w:val="24"/>
        </w:rPr>
        <w:tab/>
        <w:t>School districts organized under Article 34 of the School Code shall select a hearing officer in accordance with the requirements of Section 51.40(b) of this Part.</w:t>
      </w:r>
    </w:p>
    <w:p w:rsidR="003F0ABD" w:rsidRPr="00B47242" w:rsidRDefault="003F0ABD" w:rsidP="003F0ABD">
      <w:pPr>
        <w:ind w:left="1440" w:hanging="720"/>
        <w:rPr>
          <w:rFonts w:ascii="Times New Roman" w:hAnsi="Times New Roman"/>
          <w:szCs w:val="24"/>
        </w:rPr>
      </w:pPr>
    </w:p>
    <w:p w:rsidR="003F0ABD" w:rsidRPr="00B47242" w:rsidRDefault="003F0ABD" w:rsidP="003F0ABD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c)</w:t>
      </w:r>
      <w:r w:rsidRPr="00B47242">
        <w:rPr>
          <w:rFonts w:ascii="Times New Roman" w:hAnsi="Times New Roman"/>
          <w:szCs w:val="24"/>
        </w:rPr>
        <w:tab/>
        <w:t>In addition to the applicable qualifications of Section 51.40 of this Part, each hearing officer shall have successfully completed the prequalification process required under Section 24A-3 of the School Code [105 ILCS 5/24A-3] before conducting a hearing under the optional alternative evaluative dismissal process.</w:t>
      </w:r>
    </w:p>
    <w:p w:rsidR="003F0ABD" w:rsidRPr="00B47242" w:rsidRDefault="003F0ABD" w:rsidP="003F0ABD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</w:p>
    <w:p w:rsidR="003F0ABD" w:rsidRPr="00B47242" w:rsidRDefault="003F0ABD" w:rsidP="003F0ABD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d)</w:t>
      </w:r>
      <w:r w:rsidRPr="00B47242">
        <w:rPr>
          <w:rFonts w:ascii="Times New Roman" w:hAnsi="Times New Roman"/>
          <w:szCs w:val="24"/>
        </w:rPr>
        <w:tab/>
        <w:t xml:space="preserve">In accordance with Section 24-16.5(d)(1) of the School Code, the State Board may waive the prequalification process </w:t>
      </w:r>
      <w:r w:rsidR="00122DF5">
        <w:rPr>
          <w:rFonts w:ascii="Times New Roman" w:hAnsi="Times New Roman"/>
          <w:szCs w:val="24"/>
        </w:rPr>
        <w:t xml:space="preserve">requirements </w:t>
      </w:r>
      <w:r w:rsidRPr="00B47242">
        <w:rPr>
          <w:rFonts w:ascii="Times New Roman" w:hAnsi="Times New Roman"/>
          <w:szCs w:val="24"/>
        </w:rPr>
        <w:t>in order to provide an adequate pool of hearing officers for consideration.</w:t>
      </w:r>
    </w:p>
    <w:p w:rsidR="001C71C2" w:rsidRPr="003F0ABD" w:rsidRDefault="001C71C2" w:rsidP="002C2703">
      <w:pPr>
        <w:rPr>
          <w:rFonts w:ascii="Times New Roman" w:hAnsi="Times New Roman"/>
        </w:rPr>
      </w:pPr>
    </w:p>
    <w:p w:rsidR="003F0ABD" w:rsidRDefault="003F0ABD" w:rsidP="003F0ABD">
      <w:pPr>
        <w:ind w:left="720"/>
        <w:rPr>
          <w:rFonts w:ascii="Times New Roman" w:hAnsi="Times New Roman"/>
          <w:szCs w:val="24"/>
        </w:rPr>
      </w:pPr>
      <w:r w:rsidRPr="0006067B">
        <w:rPr>
          <w:rFonts w:ascii="Times New Roman" w:hAnsi="Times New Roman"/>
          <w:szCs w:val="24"/>
        </w:rPr>
        <w:t>(Source:  A</w:t>
      </w:r>
      <w:r>
        <w:rPr>
          <w:rFonts w:ascii="Times New Roman" w:hAnsi="Times New Roman"/>
          <w:szCs w:val="24"/>
        </w:rPr>
        <w:t>d</w:t>
      </w:r>
      <w:r w:rsidRPr="0006067B">
        <w:rPr>
          <w:rFonts w:ascii="Times New Roman" w:hAnsi="Times New Roman"/>
          <w:szCs w:val="24"/>
        </w:rPr>
        <w:t xml:space="preserve">ded at </w:t>
      </w:r>
      <w:r>
        <w:rPr>
          <w:rFonts w:ascii="Times New Roman" w:hAnsi="Times New Roman"/>
          <w:szCs w:val="24"/>
        </w:rPr>
        <w:t>36</w:t>
      </w:r>
      <w:r w:rsidRPr="0006067B">
        <w:rPr>
          <w:rFonts w:ascii="Times New Roman" w:hAnsi="Times New Roman"/>
          <w:szCs w:val="24"/>
        </w:rPr>
        <w:t xml:space="preserve"> Ill. Reg. </w:t>
      </w:r>
      <w:r w:rsidR="00634B73">
        <w:rPr>
          <w:rFonts w:ascii="Times New Roman" w:hAnsi="Times New Roman"/>
          <w:szCs w:val="24"/>
        </w:rPr>
        <w:t>12829</w:t>
      </w:r>
      <w:bookmarkStart w:id="0" w:name="_GoBack"/>
      <w:bookmarkEnd w:id="0"/>
      <w:r w:rsidRPr="0006067B">
        <w:rPr>
          <w:rFonts w:ascii="Times New Roman" w:hAnsi="Times New Roman"/>
          <w:szCs w:val="24"/>
        </w:rPr>
        <w:t xml:space="preserve">, effective </w:t>
      </w:r>
      <w:r w:rsidR="008E0F43">
        <w:rPr>
          <w:rFonts w:ascii="Times New Roman" w:hAnsi="Times New Roman"/>
        </w:rPr>
        <w:t>July 25, 2012</w:t>
      </w:r>
      <w:r w:rsidRPr="0006067B">
        <w:rPr>
          <w:rFonts w:ascii="Times New Roman" w:hAnsi="Times New Roman"/>
          <w:szCs w:val="24"/>
        </w:rPr>
        <w:t>)</w:t>
      </w:r>
    </w:p>
    <w:sectPr w:rsidR="003F0A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C2" w:rsidRDefault="003744C2">
      <w:r>
        <w:separator/>
      </w:r>
    </w:p>
  </w:endnote>
  <w:endnote w:type="continuationSeparator" w:id="0">
    <w:p w:rsidR="003744C2" w:rsidRDefault="003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C2" w:rsidRDefault="003744C2">
      <w:r>
        <w:separator/>
      </w:r>
    </w:p>
  </w:footnote>
  <w:footnote w:type="continuationSeparator" w:id="0">
    <w:p w:rsidR="003744C2" w:rsidRDefault="0037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A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2DF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CC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4C2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AB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718C"/>
    <w:rsid w:val="006132CE"/>
    <w:rsid w:val="00620BBA"/>
    <w:rsid w:val="006225B0"/>
    <w:rsid w:val="006247D4"/>
    <w:rsid w:val="006259CB"/>
    <w:rsid w:val="00626C17"/>
    <w:rsid w:val="00631875"/>
    <w:rsid w:val="00634B73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F4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2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5CD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4CE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AB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AB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