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66" w:rsidRDefault="00784066" w:rsidP="007840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4066" w:rsidRDefault="00784066" w:rsidP="0078406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1.80  Academic Early Warning and Watch </w:t>
      </w:r>
      <w:r w:rsidR="00372A2C">
        <w:rPr>
          <w:b/>
          <w:bCs/>
        </w:rPr>
        <w:t>Status</w:t>
      </w:r>
      <w:r>
        <w:t xml:space="preserve"> </w:t>
      </w:r>
    </w:p>
    <w:p w:rsidR="00784066" w:rsidRDefault="00784066" w:rsidP="00784066">
      <w:pPr>
        <w:widowControl w:val="0"/>
        <w:autoSpaceDE w:val="0"/>
        <w:autoSpaceDN w:val="0"/>
        <w:adjustRightInd w:val="0"/>
      </w:pPr>
    </w:p>
    <w:p w:rsidR="00372A2C" w:rsidRPr="00666577" w:rsidRDefault="00372A2C" w:rsidP="00372A2C">
      <w:pPr>
        <w:rPr>
          <w:b/>
        </w:rPr>
      </w:pPr>
      <w:r w:rsidRPr="00666577">
        <w:t>The movement of schools and districts that do not make adequate yearly progress</w:t>
      </w:r>
      <w:r w:rsidR="009E096C">
        <w:t xml:space="preserve"> (AYP) </w:t>
      </w:r>
      <w:r w:rsidRPr="00666577">
        <w:t>into academic early warning status and then into academic watch status shall be as specified in Section 2-3.25d of the School Code</w:t>
      </w:r>
      <w:r w:rsidR="008E2805">
        <w:t xml:space="preserve">, </w:t>
      </w:r>
      <w:r w:rsidR="008E0DB6">
        <w:t xml:space="preserve">except that the </w:t>
      </w:r>
      <w:r w:rsidR="00EE2424">
        <w:t xml:space="preserve">failure </w:t>
      </w:r>
      <w:r w:rsidR="008E2805">
        <w:t xml:space="preserve">to make AYP for two consecutive annual calculations </w:t>
      </w:r>
      <w:r w:rsidR="008E0DB6">
        <w:t>shall be based upon</w:t>
      </w:r>
      <w:r w:rsidR="008E2805">
        <w:t xml:space="preserve"> failure to attain the same applicable target, regardless of whether the same subgroup is involved in both calculations.  Further, a school or district shall be removed from any "status designation" after </w:t>
      </w:r>
      <w:r w:rsidR="008E0DB6">
        <w:t>two consecutive years</w:t>
      </w:r>
      <w:r w:rsidR="00EE2424">
        <w:t>'</w:t>
      </w:r>
      <w:r w:rsidR="008E2805">
        <w:t xml:space="preserve"> calculations show that it has met the applicable criteria for AYP</w:t>
      </w:r>
      <w:r w:rsidR="008E0DB6">
        <w:t xml:space="preserve"> in both those years</w:t>
      </w:r>
      <w:r w:rsidRPr="00666577">
        <w:t>.</w:t>
      </w:r>
    </w:p>
    <w:p w:rsidR="00372A2C" w:rsidRDefault="00372A2C" w:rsidP="00784066">
      <w:pPr>
        <w:widowControl w:val="0"/>
        <w:autoSpaceDE w:val="0"/>
        <w:autoSpaceDN w:val="0"/>
        <w:adjustRightInd w:val="0"/>
      </w:pPr>
    </w:p>
    <w:p w:rsidR="008E0DB6" w:rsidRPr="00D55B37" w:rsidRDefault="008E0DB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8049C1">
        <w:t>9897</w:t>
      </w:r>
      <w:r w:rsidRPr="00D55B37">
        <w:t xml:space="preserve">, effective </w:t>
      </w:r>
      <w:r w:rsidR="008049C1">
        <w:t>June 26, 2007</w:t>
      </w:r>
      <w:r w:rsidRPr="00D55B37">
        <w:t>)</w:t>
      </w:r>
    </w:p>
    <w:sectPr w:rsidR="008E0DB6" w:rsidRPr="00D55B37" w:rsidSect="007840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4066"/>
    <w:rsid w:val="00050D75"/>
    <w:rsid w:val="00136015"/>
    <w:rsid w:val="001936C7"/>
    <w:rsid w:val="001A787F"/>
    <w:rsid w:val="00372A2C"/>
    <w:rsid w:val="00447BA0"/>
    <w:rsid w:val="005248D6"/>
    <w:rsid w:val="005C3366"/>
    <w:rsid w:val="00784066"/>
    <w:rsid w:val="008049C1"/>
    <w:rsid w:val="008E0DB6"/>
    <w:rsid w:val="008E2805"/>
    <w:rsid w:val="009E096C"/>
    <w:rsid w:val="00A4645B"/>
    <w:rsid w:val="00B222DA"/>
    <w:rsid w:val="00EA00F4"/>
    <w:rsid w:val="00EE2424"/>
    <w:rsid w:val="00F87FC4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72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72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