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9C" w:rsidRDefault="006C2C9C" w:rsidP="00E848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2C9C" w:rsidRDefault="006C2C9C" w:rsidP="00E8482E">
      <w:pPr>
        <w:widowControl w:val="0"/>
        <w:autoSpaceDE w:val="0"/>
        <w:autoSpaceDN w:val="0"/>
        <w:adjustRightInd w:val="0"/>
      </w:pPr>
      <w:r>
        <w:t xml:space="preserve">AUTHORITY:  Implementing and authorized by Section 6z-32 of the State Finance Act [30 ILCS 105/6z-32]. </w:t>
      </w:r>
    </w:p>
    <w:sectPr w:rsidR="006C2C9C" w:rsidSect="00E8482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2C9C"/>
    <w:rsid w:val="000C66B4"/>
    <w:rsid w:val="006C2C9C"/>
    <w:rsid w:val="00AF0802"/>
    <w:rsid w:val="00C76F8E"/>
    <w:rsid w:val="00D70071"/>
    <w:rsid w:val="00E8482E"/>
    <w:rsid w:val="00F2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6z-32, 5</vt:lpstr>
    </vt:vector>
  </TitlesOfParts>
  <Company>state of illinois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6z-32, 5</dc:title>
  <dc:subject/>
  <dc:creator>MessingerRR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